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遂宁市林业局</w:t>
      </w:r>
      <w:r>
        <w:rPr>
          <w:rFonts w:ascii="Times New Roman" w:hAnsi="Times New Roman" w:eastAsia="方正小标宋简体"/>
          <w:sz w:val="44"/>
          <w:szCs w:val="44"/>
        </w:rPr>
        <w:t>2016年</w:t>
      </w:r>
    </w:p>
    <w:p>
      <w:pPr>
        <w:spacing w:line="700" w:lineRule="exact"/>
        <w:jc w:val="center"/>
        <w:rPr>
          <w:rFonts w:ascii="Times New Roman" w:hAnsi="Times New Roman" w:eastAsia="方正小标宋简体"/>
          <w:sz w:val="44"/>
          <w:szCs w:val="44"/>
        </w:rPr>
      </w:pPr>
      <w:r>
        <w:rPr>
          <w:rFonts w:ascii="Times New Roman" w:hAnsi="Times New Roman" w:eastAsia="方正小标宋简体"/>
          <w:sz w:val="44"/>
          <w:szCs w:val="44"/>
        </w:rPr>
        <w:t>部门决算编制说明</w:t>
      </w:r>
    </w:p>
    <w:p>
      <w:pPr>
        <w:pStyle w:val="3"/>
        <w:adjustRightInd w:val="0"/>
        <w:snapToGrid w:val="0"/>
        <w:spacing w:beforeLines="0" w:line="600" w:lineRule="exact"/>
        <w:ind w:firstLine="600" w:firstLineChars="200"/>
        <w:rPr>
          <w:rFonts w:ascii="Times New Roman" w:hAnsi="Times New Roman" w:eastAsia="宋体"/>
          <w:b/>
          <w:sz w:val="44"/>
          <w:szCs w:val="44"/>
        </w:rPr>
      </w:pPr>
      <w:r>
        <w:rPr>
          <w:rFonts w:ascii="Times New Roman" w:hAnsi="Times New Roman"/>
        </w:rPr>
        <w:t>按照决算管理有关规定，部门决算编报内容包括预算单位的全部收支情况。</w:t>
      </w:r>
    </w:p>
    <w:p>
      <w:pPr>
        <w:spacing w:line="600" w:lineRule="exact"/>
        <w:ind w:firstLine="640" w:firstLineChars="200"/>
        <w:rPr>
          <w:rFonts w:ascii="Times New Roman" w:hAnsi="Times New Roman" w:eastAsia="黑体"/>
          <w:color w:val="000000"/>
        </w:rPr>
      </w:pPr>
      <w:r>
        <w:rPr>
          <w:rFonts w:ascii="Times New Roman" w:hAnsi="Times New Roman" w:eastAsia="黑体"/>
          <w:color w:val="000000"/>
        </w:rPr>
        <w:t>一、基本职能及主要工作</w:t>
      </w:r>
    </w:p>
    <w:p>
      <w:pPr>
        <w:pStyle w:val="12"/>
        <w:spacing w:line="480" w:lineRule="atLeast"/>
        <w:ind w:firstLine="640"/>
      </w:pPr>
      <w:r>
        <w:rPr>
          <w:rFonts w:hint="eastAsia"/>
        </w:rPr>
        <w:t>根据遂宁市人民政府批准的三定方案，我局的职能职责及主要工作是：</w:t>
      </w:r>
    </w:p>
    <w:p>
      <w:pPr>
        <w:pStyle w:val="12"/>
        <w:spacing w:line="480" w:lineRule="atLeast"/>
        <w:ind w:firstLine="640"/>
      </w:pPr>
      <w:r>
        <w:rPr>
          <w:rFonts w:hint="eastAsia"/>
        </w:rPr>
        <w:t>（一）负责全市林业及其生态建设的监督管理。</w:t>
      </w:r>
    </w:p>
    <w:p>
      <w:pPr>
        <w:pStyle w:val="12"/>
        <w:spacing w:line="480" w:lineRule="atLeast"/>
        <w:ind w:firstLine="640"/>
      </w:pPr>
      <w:r>
        <w:rPr>
          <w:rFonts w:hint="eastAsia"/>
        </w:rPr>
        <w:t>（二）组织、协调、指导和监督全市造林绿化工作。</w:t>
      </w:r>
    </w:p>
    <w:p>
      <w:pPr>
        <w:pStyle w:val="12"/>
        <w:spacing w:line="480" w:lineRule="atLeast"/>
        <w:ind w:firstLine="640"/>
      </w:pPr>
      <w:r>
        <w:rPr>
          <w:rFonts w:hint="eastAsia"/>
        </w:rPr>
        <w:t>（三）承担全市森林资源保护发展监督管理的责任。</w:t>
      </w:r>
    </w:p>
    <w:p>
      <w:pPr>
        <w:pStyle w:val="12"/>
        <w:spacing w:line="480" w:lineRule="atLeast"/>
        <w:ind w:firstLine="640"/>
      </w:pPr>
      <w:r>
        <w:rPr>
          <w:rFonts w:hint="eastAsia"/>
        </w:rPr>
        <w:t>（四）组织、协调、指导和监督全市湿地保护工作。</w:t>
      </w:r>
    </w:p>
    <w:p>
      <w:pPr>
        <w:pStyle w:val="12"/>
        <w:spacing w:line="480" w:lineRule="atLeast"/>
        <w:ind w:firstLine="640"/>
      </w:pPr>
      <w:r>
        <w:rPr>
          <w:rFonts w:hint="eastAsia"/>
        </w:rPr>
        <w:t>（五）组织、协调、指导和监督全市荒漠化防治工作。</w:t>
      </w:r>
    </w:p>
    <w:p>
      <w:pPr>
        <w:pStyle w:val="12"/>
        <w:spacing w:line="480" w:lineRule="atLeast"/>
        <w:ind w:firstLine="640"/>
      </w:pPr>
      <w:r>
        <w:rPr>
          <w:rFonts w:hint="eastAsia"/>
        </w:rPr>
        <w:t>（六）组织、指导全市陆生野生动植物资源的保护和合理开发利用。</w:t>
      </w:r>
    </w:p>
    <w:p>
      <w:pPr>
        <w:pStyle w:val="12"/>
        <w:spacing w:line="480" w:lineRule="atLeast"/>
        <w:ind w:firstLine="640"/>
      </w:pPr>
      <w:r>
        <w:rPr>
          <w:rFonts w:hint="eastAsia"/>
        </w:rPr>
        <w:t>（七）负责全市林业系统自然保护区的监督管理。</w:t>
      </w:r>
    </w:p>
    <w:p>
      <w:pPr>
        <w:pStyle w:val="12"/>
        <w:spacing w:line="480" w:lineRule="atLeast"/>
        <w:ind w:firstLine="640"/>
      </w:pPr>
      <w:r>
        <w:rPr>
          <w:rFonts w:hint="eastAsia"/>
        </w:rPr>
        <w:t xml:space="preserve">（八）承担推进全市林业改革，维护农民和其他经营者经营林业合法权益的责任。 </w:t>
      </w:r>
    </w:p>
    <w:p>
      <w:pPr>
        <w:pStyle w:val="12"/>
        <w:spacing w:line="480" w:lineRule="atLeast"/>
        <w:ind w:firstLine="640"/>
      </w:pPr>
      <w:r>
        <w:rPr>
          <w:rFonts w:hint="eastAsia"/>
        </w:rPr>
        <w:t xml:space="preserve">（九）监督检查全市各产业对森林、湿地、荒漠和陆生野生动植物资源的开发利用。 </w:t>
      </w:r>
    </w:p>
    <w:p>
      <w:pPr>
        <w:pStyle w:val="12"/>
        <w:spacing w:line="480" w:lineRule="atLeast"/>
        <w:ind w:firstLine="640"/>
      </w:pPr>
      <w:r>
        <w:rPr>
          <w:rFonts w:hint="eastAsia"/>
        </w:rPr>
        <w:t xml:space="preserve">（十）承担组织、协调、指导、监督全市森林防火工作的责任。 </w:t>
      </w:r>
    </w:p>
    <w:p>
      <w:pPr>
        <w:pStyle w:val="12"/>
        <w:spacing w:line="480" w:lineRule="atLeast"/>
        <w:ind w:firstLine="640"/>
      </w:pPr>
      <w:r>
        <w:rPr>
          <w:rFonts w:hint="eastAsia"/>
        </w:rPr>
        <w:t>（十一）负责指导、协调全市的林业经济工作。</w:t>
      </w:r>
    </w:p>
    <w:p>
      <w:pPr>
        <w:pStyle w:val="12"/>
        <w:spacing w:line="480" w:lineRule="atLeast"/>
        <w:ind w:firstLine="640"/>
      </w:pPr>
      <w:r>
        <w:rPr>
          <w:rFonts w:hint="eastAsia"/>
        </w:rPr>
        <w:t xml:space="preserve">（十二）负责全市林业及其生态建设的科技、宣传、教育和外事工作，指导全市林业队伍建设。  </w:t>
      </w:r>
    </w:p>
    <w:p>
      <w:pPr>
        <w:pStyle w:val="12"/>
        <w:spacing w:line="480" w:lineRule="atLeast"/>
        <w:ind w:firstLine="640"/>
      </w:pPr>
      <w:r>
        <w:rPr>
          <w:rFonts w:hint="eastAsia"/>
        </w:rPr>
        <w:t xml:space="preserve">（十三）承担省市政府公布的有关行政审批事项。   </w:t>
      </w:r>
    </w:p>
    <w:p>
      <w:pPr>
        <w:pStyle w:val="12"/>
        <w:spacing w:line="480" w:lineRule="atLeast"/>
        <w:ind w:firstLine="640" w:firstLineChars="200"/>
      </w:pPr>
      <w:r>
        <w:rPr>
          <w:rFonts w:hint="eastAsia"/>
        </w:rPr>
        <w:t>（十四）承办市政府交办的其他事项。</w:t>
      </w:r>
    </w:p>
    <w:p>
      <w:pPr>
        <w:pStyle w:val="12"/>
        <w:spacing w:line="480" w:lineRule="atLeast"/>
        <w:rPr>
          <w:rFonts w:ascii="仿宋_GB2312" w:hAnsi="仿宋" w:cs="宋体"/>
          <w:b/>
          <w:szCs w:val="32"/>
        </w:rPr>
      </w:pPr>
      <w:r>
        <w:rPr>
          <w:rFonts w:hint="eastAsia" w:ascii="仿宋_GB2312" w:hAnsi="仿宋" w:cs="宋体"/>
          <w:b/>
          <w:szCs w:val="32"/>
        </w:rPr>
        <w:t>按照部门工作职责，我局2016年重点工作完成情况：</w:t>
      </w:r>
    </w:p>
    <w:p>
      <w:pPr>
        <w:adjustRightInd w:val="0"/>
        <w:snapToGrid w:val="0"/>
        <w:spacing w:line="560" w:lineRule="exact"/>
        <w:ind w:firstLine="640" w:firstLineChars="200"/>
        <w:rPr>
          <w:rFonts w:ascii="仿宋_GB2312" w:hAnsi="宋体" w:cs="宋体"/>
        </w:rPr>
      </w:pPr>
      <w:r>
        <w:rPr>
          <w:rFonts w:hint="eastAsia" w:ascii="仿宋_GB2312" w:hAnsi="宋体" w:cs="宋体"/>
        </w:rPr>
        <w:t>（一）完成0.34万亩国有林的管护，完成对111.52万亩集体公益林的管护和补偿金兑现，均占任务的100%。</w:t>
      </w:r>
    </w:p>
    <w:p>
      <w:pPr>
        <w:spacing w:line="560" w:lineRule="exact"/>
        <w:ind w:firstLine="640" w:firstLineChars="200"/>
        <w:rPr>
          <w:rFonts w:ascii="仿宋_GB2312"/>
        </w:rPr>
      </w:pPr>
      <w:r>
        <w:rPr>
          <w:rFonts w:hint="eastAsia" w:ascii="仿宋_GB2312" w:hAnsi="宋体" w:cs="宋体"/>
        </w:rPr>
        <w:t>（二）新增高效经济林6.58万亩，占任务的120%。其中核桃3.72万亩，青花椒0.36万亩，香桂1.19万亩，其他经济林1.31万亩。新增香椿等用材林1.48万亩</w:t>
      </w:r>
      <w:r>
        <w:rPr>
          <w:rFonts w:hint="eastAsia" w:ascii="仿宋_GB2312" w:hAnsi="宋体" w:cs="宋体"/>
          <w:color w:val="000000"/>
        </w:rPr>
        <w:t>；完成零星植树585万株，占任务的117%；</w:t>
      </w:r>
      <w:r>
        <w:rPr>
          <w:rFonts w:hint="eastAsia" w:ascii="仿宋_GB2312"/>
        </w:rPr>
        <w:t>探索“向树要粮”产业创新，规模化种植构树和蛋白桑来发展特色优质畜禽，在射洪县广兴镇已经初步推开。</w:t>
      </w:r>
    </w:p>
    <w:p>
      <w:pPr>
        <w:adjustRightInd w:val="0"/>
        <w:snapToGrid w:val="0"/>
        <w:spacing w:line="560" w:lineRule="exact"/>
        <w:ind w:firstLine="640" w:firstLineChars="200"/>
        <w:rPr>
          <w:rFonts w:ascii="仿宋_GB2312" w:hAnsi="宋体" w:cs="宋体"/>
          <w:color w:val="000000"/>
        </w:rPr>
      </w:pPr>
      <w:r>
        <w:rPr>
          <w:rFonts w:hint="eastAsia" w:ascii="仿宋_GB2312" w:hAnsi="宋体" w:cs="宋体"/>
        </w:rPr>
        <w:t>（三）完成营造林面积18.14万亩，占任务的130%，完成人工造林8.44万亩、低产低效林改造2.2万亩；全面完成巩固退耕还林成果27.4万亩，新增巩固退耕还林成果专项建设任务；全市森林面积达到249.88万亩，活立木蓄积量达到1067万立方米，森林覆盖率达到31.3%，指标体系调整后，实现了“双增长”目标。</w:t>
      </w:r>
    </w:p>
    <w:p>
      <w:pPr>
        <w:ind w:firstLine="640" w:firstLineChars="200"/>
        <w:rPr>
          <w:rFonts w:ascii="仿宋_GB2312" w:hAnsi="宋体" w:cs="宋体"/>
        </w:rPr>
      </w:pPr>
      <w:r>
        <w:rPr>
          <w:rFonts w:hint="eastAsia" w:ascii="仿宋_GB2312" w:hAnsi="宋体" w:cs="宋体"/>
        </w:rPr>
        <w:t>（四）新建林业科技推广示范基地面积0.4万亩，占目标任务的200%，辐射推广面积3.6万亩；积极开展科技服务基层行动，全年培训林农9700人次，占任务5000人次的194%；转化推广科技成果5项；主要造林树种良种使用率60%，种苗合格率100%。</w:t>
      </w:r>
    </w:p>
    <w:p>
      <w:pPr>
        <w:adjustRightInd w:val="0"/>
        <w:snapToGrid w:val="0"/>
        <w:spacing w:line="560" w:lineRule="exact"/>
        <w:ind w:firstLine="640" w:firstLineChars="200"/>
        <w:rPr>
          <w:rFonts w:ascii="仿宋_GB2312" w:hAnsi="宋体" w:cs="宋体"/>
        </w:rPr>
      </w:pPr>
      <w:r>
        <w:rPr>
          <w:rFonts w:hint="eastAsia" w:ascii="仿宋_GB2312" w:hAnsi="宋体" w:cs="宋体"/>
        </w:rPr>
        <w:t>（五）</w:t>
      </w:r>
      <w:r>
        <w:rPr>
          <w:rFonts w:hint="eastAsia" w:ascii="仿宋_GB2312" w:hAnsi="宋体" w:cs="宋体"/>
          <w:bCs/>
        </w:rPr>
        <w:t>实现林业总产值81亿元，占任务的107%</w:t>
      </w:r>
      <w:r>
        <w:rPr>
          <w:rFonts w:hint="eastAsia" w:ascii="仿宋_GB2312" w:hAnsi="宋体" w:cs="宋体"/>
          <w:color w:val="000000"/>
        </w:rPr>
        <w:t>；</w:t>
      </w:r>
      <w:r>
        <w:rPr>
          <w:rFonts w:hint="eastAsia" w:ascii="仿宋_GB2312" w:hAnsi="宋体" w:cs="宋体"/>
        </w:rPr>
        <w:t>生态旅游总收入达到18亿元，占任务的100%；农民人均林业收入实现1350元，占任务的 104 %；争取中、省林业项目资金10370.69万元，占任务的104 %。</w:t>
      </w:r>
    </w:p>
    <w:p>
      <w:pPr>
        <w:adjustRightInd w:val="0"/>
        <w:snapToGrid w:val="0"/>
        <w:spacing w:line="560" w:lineRule="exact"/>
        <w:rPr>
          <w:rFonts w:ascii="仿宋_GB2312" w:hAnsi="宋体" w:cs="宋体"/>
        </w:rPr>
      </w:pPr>
      <w:r>
        <w:rPr>
          <w:rFonts w:hint="eastAsia" w:ascii="仿宋_GB2312" w:hAnsi="宋体" w:cs="宋体"/>
        </w:rPr>
        <w:t>（六）</w:t>
      </w:r>
      <w:r>
        <w:rPr>
          <w:rFonts w:hint="eastAsia" w:ascii="仿宋_GB2312" w:hAnsi="宋体" w:cs="宋体"/>
          <w:bCs/>
        </w:rPr>
        <w:t>森林火灾损失率控制在0.1‰以内</w:t>
      </w:r>
      <w:r>
        <w:rPr>
          <w:rFonts w:hint="eastAsia" w:ascii="仿宋_GB2312" w:hAnsi="宋体" w:cs="宋体"/>
        </w:rPr>
        <w:t>；全年办证采伐林木限额9128.36立方米，使用采伐限额5732.55立方米。其中商品林5493.12立方米，公益林239.43立方米。</w:t>
      </w:r>
    </w:p>
    <w:p>
      <w:pPr>
        <w:adjustRightInd w:val="0"/>
        <w:snapToGrid w:val="0"/>
        <w:spacing w:line="560" w:lineRule="exact"/>
        <w:ind w:firstLine="627" w:firstLineChars="196"/>
        <w:rPr>
          <w:rFonts w:ascii="仿宋_GB2312" w:hAnsi="宋体" w:cs="宋体"/>
        </w:rPr>
      </w:pPr>
      <w:r>
        <w:rPr>
          <w:rFonts w:hint="eastAsia" w:ascii="仿宋_GB2312" w:hAnsi="宋体" w:cs="宋体"/>
        </w:rPr>
        <w:t>（七）</w:t>
      </w:r>
      <w:r>
        <w:rPr>
          <w:rFonts w:hint="eastAsia" w:ascii="仿宋_GB2312" w:hAnsi="宋体" w:cs="宋体"/>
          <w:bCs/>
        </w:rPr>
        <w:t>林业有害生物成灾率为0‰</w:t>
      </w:r>
      <w:r>
        <w:rPr>
          <w:rFonts w:hint="eastAsia" w:ascii="仿宋_GB2312" w:hAnsi="宋体" w:cs="宋体"/>
        </w:rPr>
        <w:t>，控制在考核指标3‰以内；无公害防治率达100%，灾害测报准确率达98.96%，种苗产地检疫率达100%。</w:t>
      </w:r>
    </w:p>
    <w:p>
      <w:pPr>
        <w:spacing w:line="600" w:lineRule="exact"/>
        <w:ind w:firstLine="640" w:firstLineChars="200"/>
        <w:rPr>
          <w:rFonts w:ascii="仿宋_GB2312" w:hAnsi="宋体" w:cs="宋体"/>
        </w:rPr>
      </w:pPr>
      <w:r>
        <w:rPr>
          <w:rFonts w:hint="eastAsia" w:ascii="仿宋_GB2312" w:hAnsi="宋体" w:cs="宋体"/>
        </w:rPr>
        <w:t>（八）</w:t>
      </w:r>
      <w:r>
        <w:rPr>
          <w:rFonts w:hint="eastAsia" w:ascii="仿宋_GB2312" w:hAnsi="宋体" w:cs="宋体"/>
          <w:bCs/>
        </w:rPr>
        <w:t>森林公安执法成效显著</w:t>
      </w:r>
      <w:r>
        <w:rPr>
          <w:rFonts w:hint="eastAsia" w:ascii="仿宋_GB2312" w:hAnsi="宋体" w:cs="宋体"/>
        </w:rPr>
        <w:t>。全市已立刑事案件20件，破10件，刑事拘留5人，取保候审9人，移送检察院审查起诉案件10件10人；查处行政案件185件，行政处罚274人次，收缴木材191.87立方米、野生动物97头（只）；开展集中整治20余次，取缔非法经营加工场所75处，涉林案件综合查处率95%以上。</w:t>
      </w:r>
    </w:p>
    <w:p>
      <w:pPr>
        <w:spacing w:line="600" w:lineRule="exact"/>
        <w:ind w:firstLine="640" w:firstLineChars="200"/>
        <w:rPr>
          <w:rFonts w:ascii="Times New Roman" w:hAnsi="Times New Roman" w:eastAsia="黑体"/>
          <w:color w:val="000000"/>
        </w:rPr>
      </w:pPr>
      <w:r>
        <w:rPr>
          <w:rFonts w:ascii="Times New Roman" w:hAnsi="Times New Roman" w:eastAsia="黑体"/>
          <w:color w:val="000000"/>
        </w:rPr>
        <w:t>二、部门概况</w:t>
      </w:r>
    </w:p>
    <w:p>
      <w:pPr>
        <w:pStyle w:val="3"/>
        <w:adjustRightInd w:val="0"/>
        <w:snapToGrid w:val="0"/>
        <w:spacing w:beforeLines="0" w:line="600" w:lineRule="exact"/>
        <w:ind w:firstLine="665" w:firstLineChars="208"/>
        <w:rPr>
          <w:rFonts w:asciiTheme="minorEastAsia" w:hAnsiTheme="minorEastAsia" w:eastAsiaTheme="minorEastAsia" w:cstheme="minorEastAsia"/>
          <w:color w:val="000000"/>
          <w:sz w:val="32"/>
          <w:szCs w:val="32"/>
        </w:rPr>
      </w:pPr>
      <w:r>
        <w:rPr>
          <w:rFonts w:hint="eastAsia" w:hAnsi="宋体" w:cs="宋体"/>
          <w:sz w:val="32"/>
          <w:szCs w:val="32"/>
        </w:rPr>
        <w:t>遂宁市林业局下设市森林公安局和3个事业机构，其中行政单位1个，属财政一级预算单位，事业机构没有实行单独决算，本次决算公示含森林公安局及事业机构。</w:t>
      </w:r>
    </w:p>
    <w:p>
      <w:pPr>
        <w:spacing w:line="600" w:lineRule="exact"/>
        <w:ind w:firstLine="640" w:firstLineChars="200"/>
        <w:rPr>
          <w:rFonts w:ascii="Times New Roman" w:hAnsi="Times New Roman" w:eastAsia="黑体"/>
          <w:color w:val="000000"/>
        </w:rPr>
      </w:pPr>
      <w:r>
        <w:rPr>
          <w:rFonts w:ascii="Times New Roman" w:hAnsi="Times New Roman" w:eastAsia="黑体"/>
          <w:color w:val="000000"/>
        </w:rPr>
        <w:t>三、收支决算总体情况</w:t>
      </w:r>
    </w:p>
    <w:p>
      <w:pPr>
        <w:adjustRightInd w:val="0"/>
        <w:snapToGrid w:val="0"/>
        <w:spacing w:line="560" w:lineRule="exact"/>
        <w:ind w:firstLine="640" w:firstLineChars="200"/>
        <w:rPr>
          <w:rFonts w:ascii="仿宋_GB2312" w:hAnsi="宋体" w:cs="宋体"/>
        </w:rPr>
      </w:pPr>
      <w:r>
        <w:rPr>
          <w:rFonts w:hint="eastAsia" w:ascii="仿宋_GB2312" w:hAnsi="宋体" w:cs="宋体"/>
        </w:rPr>
        <w:t>2016年遂宁市林业局本年收入合计1088.16万元，其中：财政拨款收入1079.26万元，占99.18%；其他收入8.9万元，占0.82%。</w:t>
      </w:r>
    </w:p>
    <w:p>
      <w:pPr>
        <w:adjustRightInd w:val="0"/>
        <w:snapToGrid w:val="0"/>
        <w:spacing w:line="560" w:lineRule="exact"/>
        <w:ind w:firstLine="640" w:firstLineChars="200"/>
        <w:rPr>
          <w:rFonts w:ascii="仿宋_GB2312" w:hAnsi="宋体" w:cs="宋体"/>
        </w:rPr>
      </w:pPr>
    </w:p>
    <w:tbl>
      <w:tblPr>
        <w:tblStyle w:val="8"/>
        <w:tblW w:w="9425"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3462"/>
        <w:gridCol w:w="4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938" w:type="dxa"/>
            <w:vMerge w:val="restart"/>
          </w:tcPr>
          <w:p>
            <w:pPr>
              <w:snapToGrid w:val="0"/>
              <w:jc w:val="center"/>
              <w:rPr>
                <w:rFonts w:ascii="仿宋" w:hAnsi="仿宋" w:eastAsia="仿宋"/>
                <w:color w:val="000000"/>
                <w:sz w:val="28"/>
                <w:szCs w:val="28"/>
              </w:rPr>
            </w:pPr>
          </w:p>
          <w:p>
            <w:pPr>
              <w:snapToGrid w:val="0"/>
              <w:jc w:val="center"/>
              <w:rPr>
                <w:rFonts w:ascii="仿宋" w:hAnsi="仿宋" w:eastAsia="仿宋"/>
                <w:color w:val="000000"/>
                <w:sz w:val="28"/>
                <w:szCs w:val="28"/>
              </w:rPr>
            </w:pPr>
            <w:r>
              <w:rPr>
                <w:rFonts w:hint="eastAsia" w:ascii="仿宋" w:hAnsi="仿宋" w:eastAsia="仿宋"/>
                <w:color w:val="000000"/>
                <w:sz w:val="28"/>
                <w:szCs w:val="28"/>
              </w:rPr>
              <w:t>名称</w:t>
            </w:r>
          </w:p>
          <w:p>
            <w:pPr>
              <w:spacing w:line="600" w:lineRule="exact"/>
              <w:jc w:val="center"/>
              <w:rPr>
                <w:rFonts w:ascii="Times New Roman" w:hAnsi="Times New Roman"/>
                <w:color w:val="000000"/>
                <w:sz w:val="28"/>
                <w:szCs w:val="28"/>
              </w:rPr>
            </w:pPr>
            <w:r>
              <w:rPr>
                <w:rFonts w:hint="eastAsia" w:ascii="仿宋" w:hAnsi="仿宋" w:eastAsia="仿宋"/>
                <w:color w:val="000000"/>
                <w:sz w:val="28"/>
                <w:szCs w:val="28"/>
              </w:rPr>
              <w:t>单位</w:t>
            </w:r>
          </w:p>
        </w:tc>
        <w:tc>
          <w:tcPr>
            <w:tcW w:w="3462" w:type="dxa"/>
          </w:tcPr>
          <w:p>
            <w:pPr>
              <w:spacing w:line="600" w:lineRule="exact"/>
              <w:jc w:val="center"/>
              <w:rPr>
                <w:rFonts w:ascii="Times New Roman" w:hAnsi="Times New Roman"/>
                <w:color w:val="000000"/>
                <w:sz w:val="28"/>
                <w:szCs w:val="28"/>
              </w:rPr>
            </w:pPr>
            <w:r>
              <w:rPr>
                <w:rFonts w:hint="eastAsia" w:ascii="仿宋" w:hAnsi="仿宋" w:eastAsia="仿宋"/>
                <w:color w:val="000000"/>
                <w:sz w:val="28"/>
                <w:szCs w:val="28"/>
              </w:rPr>
              <w:t>遂宁市林业局（单位：万元）</w:t>
            </w:r>
          </w:p>
        </w:tc>
        <w:tc>
          <w:tcPr>
            <w:tcW w:w="4025" w:type="dxa"/>
          </w:tcPr>
          <w:p>
            <w:pPr>
              <w:spacing w:line="600" w:lineRule="exact"/>
              <w:jc w:val="center"/>
              <w:rPr>
                <w:rFonts w:ascii="Times New Roman" w:hAnsi="Times New Roman"/>
                <w:color w:val="000000"/>
                <w:sz w:val="28"/>
                <w:szCs w:val="28"/>
              </w:rPr>
            </w:pPr>
            <w:r>
              <w:rPr>
                <w:rFonts w:hint="eastAsia" w:ascii="仿宋" w:hAnsi="仿宋" w:eastAsia="仿宋"/>
                <w:color w:val="000000"/>
                <w:sz w:val="28"/>
                <w:szCs w:val="28"/>
              </w:rPr>
              <w:t>遂宁市森林公安局（单位：万元）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938" w:type="dxa"/>
            <w:vMerge w:val="continue"/>
          </w:tcPr>
          <w:p>
            <w:pPr>
              <w:snapToGrid w:val="0"/>
              <w:spacing w:line="400" w:lineRule="exact"/>
              <w:jc w:val="center"/>
              <w:rPr>
                <w:rFonts w:ascii="Times New Roman" w:hAnsi="Times New Roman"/>
                <w:color w:val="000000"/>
              </w:rPr>
            </w:pPr>
          </w:p>
        </w:tc>
        <w:tc>
          <w:tcPr>
            <w:tcW w:w="3462" w:type="dxa"/>
          </w:tcPr>
          <w:p>
            <w:pPr>
              <w:snapToGrid w:val="0"/>
              <w:spacing w:line="400" w:lineRule="exact"/>
              <w:jc w:val="center"/>
              <w:rPr>
                <w:rFonts w:ascii="Times New Roman" w:hAnsi="Times New Roman"/>
                <w:color w:val="000000"/>
                <w:sz w:val="28"/>
                <w:szCs w:val="28"/>
              </w:rPr>
            </w:pPr>
            <w:r>
              <w:rPr>
                <w:rFonts w:ascii="仿宋" w:hAnsi="仿宋" w:eastAsia="仿宋"/>
                <w:color w:val="000000"/>
                <w:sz w:val="28"/>
                <w:szCs w:val="28"/>
              </w:rPr>
              <w:t>2016</w:t>
            </w:r>
            <w:r>
              <w:rPr>
                <w:rFonts w:hint="eastAsia" w:ascii="仿宋" w:hAnsi="仿宋" w:eastAsia="仿宋"/>
                <w:color w:val="000000"/>
                <w:sz w:val="28"/>
                <w:szCs w:val="28"/>
              </w:rPr>
              <w:t>年</w:t>
            </w:r>
          </w:p>
        </w:tc>
        <w:tc>
          <w:tcPr>
            <w:tcW w:w="4025" w:type="dxa"/>
          </w:tcPr>
          <w:p>
            <w:pPr>
              <w:snapToGrid w:val="0"/>
              <w:spacing w:line="400" w:lineRule="exact"/>
              <w:jc w:val="center"/>
              <w:rPr>
                <w:rFonts w:ascii="Times New Roman" w:hAnsi="Times New Roman"/>
                <w:color w:val="000000"/>
                <w:sz w:val="28"/>
                <w:szCs w:val="28"/>
              </w:rPr>
            </w:pPr>
            <w:r>
              <w:rPr>
                <w:rFonts w:ascii="仿宋" w:hAnsi="仿宋" w:eastAsia="仿宋"/>
                <w:color w:val="000000"/>
                <w:sz w:val="28"/>
                <w:szCs w:val="28"/>
              </w:rPr>
              <w:t>2016</w:t>
            </w:r>
            <w:r>
              <w:rPr>
                <w:rFonts w:hint="eastAsia" w:ascii="仿宋" w:hAnsi="仿宋" w:eastAsia="仿宋"/>
                <w:color w:val="000000"/>
                <w:sz w:val="28"/>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napToGrid w:val="0"/>
              <w:spacing w:line="400" w:lineRule="exact"/>
              <w:jc w:val="center"/>
              <w:rPr>
                <w:rFonts w:ascii="Times New Roman" w:hAnsi="Times New Roman"/>
                <w:color w:val="000000"/>
                <w:sz w:val="28"/>
                <w:szCs w:val="28"/>
              </w:rPr>
            </w:pPr>
            <w:r>
              <w:rPr>
                <w:rFonts w:hint="eastAsia" w:ascii="仿宋" w:hAnsi="仿宋" w:eastAsia="仿宋"/>
                <w:color w:val="000000"/>
                <w:sz w:val="28"/>
                <w:szCs w:val="28"/>
              </w:rPr>
              <w:t>本年收入</w:t>
            </w:r>
          </w:p>
        </w:tc>
        <w:tc>
          <w:tcPr>
            <w:tcW w:w="3462" w:type="dxa"/>
          </w:tcPr>
          <w:p>
            <w:pPr>
              <w:spacing w:line="400" w:lineRule="exact"/>
              <w:jc w:val="center"/>
              <w:rPr>
                <w:rFonts w:ascii="Times New Roman" w:hAnsi="Times New Roman"/>
                <w:color w:val="000000"/>
                <w:sz w:val="28"/>
                <w:szCs w:val="28"/>
              </w:rPr>
            </w:pPr>
            <w:r>
              <w:rPr>
                <w:rFonts w:ascii="仿宋" w:hAnsi="仿宋" w:eastAsia="仿宋"/>
                <w:color w:val="000000"/>
                <w:sz w:val="28"/>
                <w:szCs w:val="28"/>
              </w:rPr>
              <w:t>777.98</w:t>
            </w:r>
          </w:p>
        </w:tc>
        <w:tc>
          <w:tcPr>
            <w:tcW w:w="4025" w:type="dxa"/>
          </w:tcPr>
          <w:p>
            <w:pPr>
              <w:spacing w:line="400" w:lineRule="exact"/>
              <w:jc w:val="center"/>
              <w:rPr>
                <w:rFonts w:ascii="Times New Roman" w:hAnsi="Times New Roman"/>
                <w:color w:val="000000"/>
                <w:sz w:val="28"/>
                <w:szCs w:val="28"/>
              </w:rPr>
            </w:pPr>
            <w:r>
              <w:rPr>
                <w:rFonts w:ascii="仿宋" w:hAnsi="仿宋" w:eastAsia="仿宋"/>
                <w:color w:val="000000"/>
                <w:sz w:val="28"/>
                <w:szCs w:val="28"/>
              </w:rPr>
              <w:t>310.18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8" w:type="dxa"/>
          </w:tcPr>
          <w:p>
            <w:pPr>
              <w:snapToGrid w:val="0"/>
              <w:spacing w:line="400" w:lineRule="exact"/>
              <w:jc w:val="center"/>
              <w:rPr>
                <w:rFonts w:ascii="Times New Roman" w:hAnsi="Times New Roman"/>
                <w:color w:val="000000"/>
                <w:sz w:val="28"/>
                <w:szCs w:val="28"/>
              </w:rPr>
            </w:pPr>
            <w:r>
              <w:rPr>
                <w:rFonts w:hint="eastAsia" w:ascii="仿宋" w:hAnsi="仿宋" w:eastAsia="仿宋"/>
                <w:color w:val="000000"/>
                <w:sz w:val="28"/>
                <w:szCs w:val="28"/>
              </w:rPr>
              <w:t>财政拨款收入</w:t>
            </w:r>
          </w:p>
        </w:tc>
        <w:tc>
          <w:tcPr>
            <w:tcW w:w="3462" w:type="dxa"/>
          </w:tcPr>
          <w:p>
            <w:pPr>
              <w:spacing w:line="400" w:lineRule="exact"/>
              <w:jc w:val="center"/>
              <w:rPr>
                <w:rFonts w:ascii="Times New Roman" w:hAnsi="Times New Roman"/>
                <w:color w:val="000000"/>
                <w:sz w:val="28"/>
                <w:szCs w:val="28"/>
              </w:rPr>
            </w:pPr>
            <w:r>
              <w:rPr>
                <w:rFonts w:ascii="仿宋" w:hAnsi="仿宋" w:eastAsia="仿宋"/>
                <w:color w:val="000000"/>
                <w:sz w:val="28"/>
                <w:szCs w:val="28"/>
              </w:rPr>
              <w:t>769.12</w:t>
            </w:r>
          </w:p>
        </w:tc>
        <w:tc>
          <w:tcPr>
            <w:tcW w:w="4025" w:type="dxa"/>
          </w:tcPr>
          <w:p>
            <w:pPr>
              <w:spacing w:line="400" w:lineRule="exact"/>
              <w:jc w:val="center"/>
              <w:rPr>
                <w:rFonts w:ascii="Times New Roman" w:hAnsi="Times New Roman"/>
                <w:color w:val="000000"/>
                <w:sz w:val="28"/>
                <w:szCs w:val="28"/>
              </w:rPr>
            </w:pPr>
            <w:r>
              <w:rPr>
                <w:rFonts w:ascii="仿宋" w:hAnsi="仿宋" w:eastAsia="仿宋"/>
                <w:color w:val="000000"/>
                <w:sz w:val="28"/>
                <w:szCs w:val="28"/>
              </w:rPr>
              <w:t>310.14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8" w:type="dxa"/>
          </w:tcPr>
          <w:p>
            <w:pPr>
              <w:snapToGrid w:val="0"/>
              <w:spacing w:line="400" w:lineRule="exact"/>
              <w:jc w:val="center"/>
              <w:rPr>
                <w:rFonts w:ascii="Times New Roman" w:hAnsi="Times New Roman"/>
                <w:color w:val="000000"/>
                <w:sz w:val="28"/>
                <w:szCs w:val="28"/>
              </w:rPr>
            </w:pPr>
            <w:r>
              <w:rPr>
                <w:rFonts w:hint="eastAsia" w:ascii="仿宋" w:hAnsi="仿宋" w:eastAsia="仿宋"/>
                <w:color w:val="000000"/>
                <w:sz w:val="28"/>
                <w:szCs w:val="28"/>
              </w:rPr>
              <w:t>其他收入</w:t>
            </w:r>
          </w:p>
        </w:tc>
        <w:tc>
          <w:tcPr>
            <w:tcW w:w="3462" w:type="dxa"/>
          </w:tcPr>
          <w:p>
            <w:pPr>
              <w:spacing w:line="400" w:lineRule="exact"/>
              <w:jc w:val="center"/>
              <w:rPr>
                <w:rFonts w:ascii="Times New Roman" w:hAnsi="Times New Roman"/>
                <w:color w:val="000000"/>
                <w:sz w:val="28"/>
                <w:szCs w:val="28"/>
              </w:rPr>
            </w:pPr>
            <w:r>
              <w:rPr>
                <w:rFonts w:ascii="仿宋" w:hAnsi="仿宋" w:eastAsia="仿宋"/>
                <w:color w:val="000000"/>
                <w:sz w:val="28"/>
                <w:szCs w:val="28"/>
              </w:rPr>
              <w:t>8.86</w:t>
            </w:r>
          </w:p>
        </w:tc>
        <w:tc>
          <w:tcPr>
            <w:tcW w:w="4025" w:type="dxa"/>
          </w:tcPr>
          <w:p>
            <w:pPr>
              <w:spacing w:line="400" w:lineRule="exact"/>
              <w:jc w:val="center"/>
              <w:rPr>
                <w:rFonts w:ascii="Times New Roman" w:hAnsi="Times New Roman"/>
                <w:color w:val="000000"/>
                <w:sz w:val="28"/>
                <w:szCs w:val="28"/>
              </w:rPr>
            </w:pPr>
            <w:r>
              <w:rPr>
                <w:rFonts w:ascii="仿宋" w:hAnsi="仿宋" w:eastAsia="仿宋"/>
                <w:color w:val="000000"/>
                <w:sz w:val="28"/>
                <w:szCs w:val="28"/>
              </w:rPr>
              <w:t>0.04</w:t>
            </w:r>
          </w:p>
        </w:tc>
      </w:tr>
    </w:tbl>
    <w:p>
      <w:pPr>
        <w:spacing w:line="600" w:lineRule="exact"/>
        <w:ind w:firstLine="560" w:firstLineChars="200"/>
        <w:rPr>
          <w:rFonts w:ascii="Times New Roman" w:hAnsi="Times New Roman"/>
          <w:color w:val="000000"/>
        </w:rPr>
      </w:pPr>
      <w:r>
        <w:rPr>
          <w:rFonts w:ascii="仿宋" w:hAnsi="仿宋" w:eastAsia="仿宋"/>
          <w:color w:val="000000"/>
          <w:sz w:val="28"/>
          <w:szCs w:val="28"/>
        </w:rPr>
        <w:drawing>
          <wp:anchor distT="0" distB="0" distL="114300" distR="114300" simplePos="0" relativeHeight="251658240" behindDoc="1" locked="0" layoutInCell="1" allowOverlap="1">
            <wp:simplePos x="0" y="0"/>
            <wp:positionH relativeFrom="column">
              <wp:posOffset>-438150</wp:posOffset>
            </wp:positionH>
            <wp:positionV relativeFrom="page">
              <wp:posOffset>3425825</wp:posOffset>
            </wp:positionV>
            <wp:extent cx="2907030" cy="2107565"/>
            <wp:effectExtent l="19050" t="0" r="26670" b="698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ascii="仿宋" w:hAnsi="仿宋" w:eastAsia="仿宋"/>
          <w:color w:val="000000"/>
          <w:sz w:val="28"/>
          <w:szCs w:val="28"/>
        </w:rPr>
        <w:drawing>
          <wp:anchor distT="0" distB="0" distL="114300" distR="114300" simplePos="0" relativeHeight="251666432" behindDoc="0" locked="0" layoutInCell="1" allowOverlap="1">
            <wp:simplePos x="0" y="0"/>
            <wp:positionH relativeFrom="column">
              <wp:posOffset>2538730</wp:posOffset>
            </wp:positionH>
            <wp:positionV relativeFrom="paragraph">
              <wp:posOffset>367665</wp:posOffset>
            </wp:positionV>
            <wp:extent cx="3068955" cy="2108835"/>
            <wp:effectExtent l="4445" t="5080" r="12700" b="1968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spacing w:line="600" w:lineRule="exact"/>
        <w:ind w:firstLine="640" w:firstLineChars="200"/>
        <w:rPr>
          <w:rFonts w:ascii="Times New Roman" w:hAnsi="Times New Roman"/>
          <w:color w:val="000000"/>
        </w:rPr>
      </w:pPr>
    </w:p>
    <w:p>
      <w:pPr>
        <w:spacing w:line="600" w:lineRule="exact"/>
        <w:ind w:firstLine="640" w:firstLineChars="200"/>
        <w:rPr>
          <w:rFonts w:ascii="Times New Roman" w:hAnsi="Times New Roman"/>
          <w:color w:val="000000"/>
        </w:rPr>
      </w:pPr>
    </w:p>
    <w:p>
      <w:pPr>
        <w:spacing w:line="600" w:lineRule="exact"/>
        <w:ind w:firstLine="640" w:firstLineChars="200"/>
        <w:rPr>
          <w:rFonts w:ascii="Times New Roman" w:hAnsi="Times New Roman"/>
          <w:color w:val="000000"/>
        </w:rPr>
      </w:pPr>
    </w:p>
    <w:p>
      <w:pPr>
        <w:spacing w:line="600" w:lineRule="exact"/>
        <w:ind w:firstLine="640" w:firstLineChars="200"/>
        <w:rPr>
          <w:rFonts w:ascii="Times New Roman" w:hAnsi="Times New Roman"/>
          <w:color w:val="000000"/>
        </w:rPr>
      </w:pPr>
    </w:p>
    <w:p>
      <w:pPr>
        <w:spacing w:line="600" w:lineRule="exact"/>
        <w:ind w:firstLine="640" w:firstLineChars="200"/>
        <w:rPr>
          <w:rFonts w:ascii="Times New Roman" w:hAnsi="Times New Roman" w:eastAsia="黑体"/>
          <w:color w:val="000000"/>
        </w:rPr>
      </w:pPr>
    </w:p>
    <w:p>
      <w:pPr>
        <w:adjustRightInd w:val="0"/>
        <w:snapToGrid w:val="0"/>
        <w:spacing w:line="560" w:lineRule="exact"/>
        <w:ind w:firstLine="640" w:firstLineChars="200"/>
        <w:rPr>
          <w:rFonts w:ascii="仿宋_GB2312" w:hAnsi="宋体" w:cs="宋体"/>
        </w:rPr>
      </w:pPr>
    </w:p>
    <w:p>
      <w:pPr>
        <w:adjustRightInd w:val="0"/>
        <w:snapToGrid w:val="0"/>
        <w:spacing w:line="560" w:lineRule="exact"/>
        <w:ind w:firstLine="640" w:firstLineChars="200"/>
        <w:rPr>
          <w:rFonts w:ascii="仿宋_GB2312" w:hAnsi="宋体" w:cs="宋体"/>
        </w:rPr>
      </w:pPr>
      <w:r>
        <w:rPr>
          <w:rFonts w:hint="eastAsia" w:ascii="仿宋_GB2312" w:hAnsi="宋体" w:cs="宋体"/>
        </w:rPr>
        <w:t>年初结转合计1732.31万元，其中：项目支出结转1630.47万元。</w:t>
      </w:r>
    </w:p>
    <w:p>
      <w:pPr>
        <w:adjustRightInd w:val="0"/>
        <w:snapToGrid w:val="0"/>
        <w:spacing w:line="560" w:lineRule="exact"/>
        <w:ind w:firstLine="640" w:firstLineChars="200"/>
        <w:rPr>
          <w:rFonts w:ascii="仿宋_GB2312" w:hAnsi="宋体" w:cs="宋体"/>
        </w:rPr>
      </w:pPr>
      <w:r>
        <w:rPr>
          <w:rFonts w:hint="eastAsia" w:ascii="仿宋_GB2312" w:hAnsi="宋体" w:cs="宋体"/>
        </w:rPr>
        <w:t>2016年遂宁市林业局本年支出合计2138.33万元，其中：基本支出771.31万元，占36.07％；项目支出1367.02万元，占63.93％。</w:t>
      </w:r>
    </w:p>
    <w:tbl>
      <w:tblPr>
        <w:tblStyle w:val="7"/>
        <w:tblW w:w="9851"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3780"/>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31" w:type="dxa"/>
            <w:vMerge w:val="restart"/>
          </w:tcPr>
          <w:p>
            <w:pPr>
              <w:snapToGrid w:val="0"/>
              <w:jc w:val="center"/>
              <w:rPr>
                <w:rFonts w:ascii="仿宋" w:hAnsi="仿宋" w:eastAsia="仿宋"/>
                <w:color w:val="000000"/>
                <w:sz w:val="28"/>
                <w:szCs w:val="28"/>
              </w:rPr>
            </w:pPr>
          </w:p>
          <w:p>
            <w:pPr>
              <w:snapToGrid w:val="0"/>
              <w:jc w:val="center"/>
              <w:rPr>
                <w:rFonts w:ascii="仿宋" w:hAnsi="仿宋" w:eastAsia="仿宋"/>
                <w:color w:val="000000"/>
                <w:sz w:val="28"/>
                <w:szCs w:val="28"/>
              </w:rPr>
            </w:pPr>
            <w:r>
              <w:rPr>
                <w:rFonts w:hint="eastAsia" w:ascii="仿宋" w:hAnsi="仿宋" w:eastAsia="仿宋"/>
                <w:color w:val="000000"/>
                <w:sz w:val="28"/>
                <w:szCs w:val="28"/>
              </w:rPr>
              <w:t xml:space="preserve">名称 </w:t>
            </w:r>
          </w:p>
          <w:p>
            <w:pPr>
              <w:snapToGrid w:val="0"/>
              <w:jc w:val="center"/>
              <w:rPr>
                <w:rFonts w:ascii="仿宋" w:hAnsi="仿宋" w:eastAsia="仿宋"/>
                <w:color w:val="000000"/>
                <w:sz w:val="28"/>
                <w:szCs w:val="28"/>
              </w:rPr>
            </w:pPr>
            <w:r>
              <w:rPr>
                <w:rFonts w:hint="eastAsia" w:ascii="仿宋" w:hAnsi="仿宋" w:eastAsia="仿宋"/>
                <w:color w:val="000000"/>
                <w:sz w:val="28"/>
                <w:szCs w:val="28"/>
              </w:rPr>
              <w:t>名称</w:t>
            </w:r>
          </w:p>
          <w:p>
            <w:pPr>
              <w:snapToGrid w:val="0"/>
              <w:jc w:val="center"/>
              <w:rPr>
                <w:rFonts w:ascii="仿宋" w:hAnsi="仿宋" w:eastAsia="仿宋"/>
                <w:color w:val="000000"/>
                <w:sz w:val="28"/>
                <w:szCs w:val="28"/>
              </w:rPr>
            </w:pPr>
          </w:p>
          <w:p>
            <w:pPr>
              <w:spacing w:line="600" w:lineRule="exact"/>
              <w:jc w:val="center"/>
              <w:rPr>
                <w:rFonts w:ascii="仿宋" w:hAnsi="仿宋" w:eastAsia="仿宋"/>
                <w:color w:val="000000"/>
                <w:sz w:val="28"/>
                <w:szCs w:val="28"/>
              </w:rPr>
            </w:pPr>
            <w:r>
              <w:rPr>
                <w:rFonts w:hint="eastAsia" w:ascii="仿宋" w:hAnsi="仿宋" w:eastAsia="仿宋"/>
                <w:color w:val="000000"/>
                <w:sz w:val="28"/>
                <w:szCs w:val="28"/>
              </w:rPr>
              <w:t>单位</w:t>
            </w:r>
          </w:p>
        </w:tc>
        <w:tc>
          <w:tcPr>
            <w:tcW w:w="3780" w:type="dxa"/>
          </w:tcPr>
          <w:p>
            <w:pPr>
              <w:spacing w:line="600" w:lineRule="exact"/>
              <w:jc w:val="center"/>
              <w:rPr>
                <w:rFonts w:ascii="仿宋" w:hAnsi="仿宋" w:eastAsia="仿宋"/>
                <w:color w:val="000000"/>
                <w:sz w:val="28"/>
                <w:szCs w:val="28"/>
              </w:rPr>
            </w:pPr>
            <w:r>
              <w:rPr>
                <w:rFonts w:hint="eastAsia" w:ascii="仿宋" w:hAnsi="仿宋" w:eastAsia="仿宋"/>
                <w:color w:val="000000"/>
                <w:sz w:val="28"/>
                <w:szCs w:val="28"/>
              </w:rPr>
              <w:t>遂宁市林业局（单位：万元）</w:t>
            </w:r>
          </w:p>
        </w:tc>
        <w:tc>
          <w:tcPr>
            <w:tcW w:w="4140" w:type="dxa"/>
            <w:vAlign w:val="center"/>
          </w:tcPr>
          <w:p>
            <w:pPr>
              <w:spacing w:line="400" w:lineRule="exact"/>
              <w:jc w:val="center"/>
              <w:rPr>
                <w:rFonts w:ascii="仿宋" w:hAnsi="仿宋" w:eastAsia="仿宋"/>
                <w:color w:val="000000"/>
                <w:sz w:val="28"/>
                <w:szCs w:val="28"/>
              </w:rPr>
            </w:pPr>
            <w:r>
              <w:rPr>
                <w:rFonts w:hint="eastAsia" w:ascii="仿宋" w:hAnsi="仿宋" w:eastAsia="仿宋" w:cs="宋体"/>
                <w:color w:val="000000"/>
                <w:sz w:val="28"/>
                <w:szCs w:val="28"/>
              </w:rPr>
              <w:t>遂宁市森林公安局（单位：万元）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931" w:type="dxa"/>
            <w:vMerge w:val="continue"/>
            <w:vAlign w:val="center"/>
          </w:tcPr>
          <w:p>
            <w:pPr>
              <w:spacing w:line="400" w:lineRule="exact"/>
              <w:jc w:val="center"/>
              <w:rPr>
                <w:rFonts w:ascii="仿宋" w:hAnsi="仿宋" w:eastAsia="仿宋"/>
                <w:color w:val="000000"/>
              </w:rPr>
            </w:pPr>
          </w:p>
        </w:tc>
        <w:tc>
          <w:tcPr>
            <w:tcW w:w="3780" w:type="dxa"/>
            <w:vAlign w:val="center"/>
          </w:tcPr>
          <w:p>
            <w:pPr>
              <w:spacing w:line="400" w:lineRule="exact"/>
              <w:jc w:val="center"/>
              <w:rPr>
                <w:rFonts w:ascii="仿宋" w:hAnsi="仿宋" w:eastAsia="仿宋"/>
                <w:color w:val="000000"/>
                <w:sz w:val="28"/>
                <w:szCs w:val="28"/>
              </w:rPr>
            </w:pPr>
            <w:r>
              <w:rPr>
                <w:rFonts w:ascii="仿宋" w:hAnsi="仿宋" w:eastAsia="仿宋"/>
                <w:color w:val="000000"/>
                <w:sz w:val="28"/>
                <w:szCs w:val="28"/>
              </w:rPr>
              <w:t>2016</w:t>
            </w:r>
            <w:r>
              <w:rPr>
                <w:rFonts w:hint="eastAsia" w:ascii="仿宋" w:hAnsi="仿宋" w:eastAsia="仿宋" w:cs="宋体"/>
                <w:color w:val="000000"/>
                <w:sz w:val="28"/>
                <w:szCs w:val="28"/>
              </w:rPr>
              <w:t>年</w:t>
            </w:r>
          </w:p>
        </w:tc>
        <w:tc>
          <w:tcPr>
            <w:tcW w:w="4140" w:type="dxa"/>
            <w:vAlign w:val="center"/>
          </w:tcPr>
          <w:p>
            <w:pPr>
              <w:spacing w:line="400" w:lineRule="exact"/>
              <w:jc w:val="center"/>
              <w:rPr>
                <w:rFonts w:ascii="仿宋" w:hAnsi="仿宋" w:eastAsia="仿宋"/>
                <w:color w:val="000000"/>
                <w:sz w:val="28"/>
                <w:szCs w:val="28"/>
              </w:rPr>
            </w:pPr>
            <w:r>
              <w:rPr>
                <w:rFonts w:ascii="仿宋" w:hAnsi="仿宋" w:eastAsia="仿宋"/>
                <w:color w:val="000000"/>
                <w:sz w:val="28"/>
                <w:szCs w:val="28"/>
              </w:rPr>
              <w:t>2016</w:t>
            </w:r>
            <w:r>
              <w:rPr>
                <w:rFonts w:hint="eastAsia" w:ascii="仿宋" w:hAnsi="仿宋" w:eastAsia="仿宋" w:cs="宋体"/>
                <w:color w:val="000000"/>
                <w:sz w:val="28"/>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vAlign w:val="center"/>
          </w:tcPr>
          <w:p>
            <w:pPr>
              <w:snapToGrid w:val="0"/>
              <w:spacing w:line="400" w:lineRule="exact"/>
              <w:jc w:val="center"/>
              <w:rPr>
                <w:rFonts w:ascii="仿宋" w:hAnsi="仿宋" w:eastAsia="仿宋"/>
                <w:color w:val="000000"/>
                <w:sz w:val="28"/>
                <w:szCs w:val="28"/>
              </w:rPr>
            </w:pPr>
            <w:r>
              <w:rPr>
                <w:rFonts w:hint="eastAsia" w:ascii="仿宋" w:hAnsi="仿宋" w:eastAsia="仿宋" w:cs="宋体"/>
                <w:color w:val="000000"/>
                <w:sz w:val="28"/>
                <w:szCs w:val="28"/>
              </w:rPr>
              <w:t>本年支出</w:t>
            </w:r>
          </w:p>
        </w:tc>
        <w:tc>
          <w:tcPr>
            <w:tcW w:w="3780" w:type="dxa"/>
            <w:vAlign w:val="center"/>
          </w:tcPr>
          <w:p>
            <w:pPr>
              <w:spacing w:line="400" w:lineRule="exact"/>
              <w:jc w:val="center"/>
              <w:rPr>
                <w:rFonts w:ascii="仿宋" w:hAnsi="仿宋" w:eastAsia="仿宋"/>
                <w:color w:val="000000"/>
                <w:sz w:val="28"/>
                <w:szCs w:val="28"/>
              </w:rPr>
            </w:pPr>
            <w:r>
              <w:rPr>
                <w:rFonts w:ascii="仿宋" w:hAnsi="仿宋" w:eastAsia="仿宋"/>
                <w:color w:val="000000"/>
                <w:sz w:val="28"/>
                <w:szCs w:val="28"/>
              </w:rPr>
              <w:t>1803.05</w:t>
            </w:r>
          </w:p>
        </w:tc>
        <w:tc>
          <w:tcPr>
            <w:tcW w:w="4140" w:type="dxa"/>
            <w:vAlign w:val="center"/>
          </w:tcPr>
          <w:p>
            <w:pPr>
              <w:spacing w:line="400" w:lineRule="exact"/>
              <w:jc w:val="center"/>
              <w:rPr>
                <w:rFonts w:ascii="仿宋" w:hAnsi="仿宋" w:eastAsia="仿宋"/>
                <w:color w:val="000000"/>
                <w:sz w:val="28"/>
                <w:szCs w:val="28"/>
              </w:rPr>
            </w:pPr>
            <w:r>
              <w:rPr>
                <w:rFonts w:ascii="仿宋" w:hAnsi="仿宋" w:eastAsia="仿宋"/>
                <w:color w:val="000000"/>
                <w:sz w:val="28"/>
                <w:szCs w:val="28"/>
              </w:rPr>
              <w:t>335.28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vAlign w:val="center"/>
          </w:tcPr>
          <w:p>
            <w:pPr>
              <w:snapToGrid w:val="0"/>
              <w:spacing w:line="400" w:lineRule="exact"/>
              <w:jc w:val="center"/>
              <w:rPr>
                <w:rFonts w:ascii="仿宋" w:hAnsi="仿宋" w:eastAsia="仿宋"/>
                <w:color w:val="000000"/>
                <w:sz w:val="28"/>
                <w:szCs w:val="28"/>
              </w:rPr>
            </w:pPr>
            <w:r>
              <w:rPr>
                <w:rFonts w:hint="eastAsia" w:ascii="仿宋" w:hAnsi="仿宋" w:eastAsia="仿宋" w:cs="宋体"/>
                <w:color w:val="000000"/>
                <w:sz w:val="28"/>
                <w:szCs w:val="28"/>
              </w:rPr>
              <w:t>基本支出</w:t>
            </w:r>
          </w:p>
        </w:tc>
        <w:tc>
          <w:tcPr>
            <w:tcW w:w="3780" w:type="dxa"/>
            <w:vAlign w:val="center"/>
          </w:tcPr>
          <w:p>
            <w:pPr>
              <w:spacing w:line="400" w:lineRule="exact"/>
              <w:jc w:val="center"/>
              <w:rPr>
                <w:rFonts w:ascii="仿宋" w:hAnsi="仿宋" w:eastAsia="仿宋"/>
                <w:color w:val="000000"/>
                <w:sz w:val="28"/>
                <w:szCs w:val="28"/>
              </w:rPr>
            </w:pPr>
            <w:r>
              <w:rPr>
                <w:rFonts w:ascii="仿宋" w:hAnsi="仿宋" w:eastAsia="仿宋"/>
                <w:color w:val="000000"/>
                <w:sz w:val="28"/>
                <w:szCs w:val="28"/>
              </w:rPr>
              <w:t>506.03</w:t>
            </w:r>
          </w:p>
        </w:tc>
        <w:tc>
          <w:tcPr>
            <w:tcW w:w="4140" w:type="dxa"/>
            <w:vAlign w:val="center"/>
          </w:tcPr>
          <w:p>
            <w:pPr>
              <w:spacing w:line="400" w:lineRule="exact"/>
              <w:jc w:val="center"/>
              <w:rPr>
                <w:rFonts w:ascii="仿宋" w:hAnsi="仿宋" w:eastAsia="仿宋"/>
                <w:color w:val="000000"/>
                <w:sz w:val="28"/>
                <w:szCs w:val="28"/>
              </w:rPr>
            </w:pPr>
            <w:r>
              <w:rPr>
                <w:rFonts w:ascii="仿宋" w:hAnsi="仿宋" w:eastAsia="仿宋"/>
                <w:color w:val="000000"/>
                <w:sz w:val="28"/>
                <w:szCs w:val="28"/>
              </w:rPr>
              <w:t>265.28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vAlign w:val="center"/>
          </w:tcPr>
          <w:p>
            <w:pPr>
              <w:snapToGrid w:val="0"/>
              <w:spacing w:line="400" w:lineRule="exact"/>
              <w:jc w:val="center"/>
              <w:rPr>
                <w:rFonts w:ascii="仿宋" w:hAnsi="仿宋" w:eastAsia="仿宋"/>
                <w:color w:val="000000"/>
                <w:sz w:val="28"/>
                <w:szCs w:val="28"/>
              </w:rPr>
            </w:pPr>
            <w:r>
              <w:rPr>
                <w:rFonts w:hint="eastAsia" w:ascii="仿宋" w:hAnsi="仿宋" w:eastAsia="仿宋" w:cs="宋体"/>
                <w:color w:val="000000"/>
                <w:sz w:val="28"/>
                <w:szCs w:val="28"/>
              </w:rPr>
              <w:t>项目支出</w:t>
            </w:r>
          </w:p>
        </w:tc>
        <w:tc>
          <w:tcPr>
            <w:tcW w:w="3780" w:type="dxa"/>
            <w:vAlign w:val="center"/>
          </w:tcPr>
          <w:p>
            <w:pPr>
              <w:spacing w:line="400" w:lineRule="exact"/>
              <w:jc w:val="center"/>
              <w:rPr>
                <w:rFonts w:ascii="仿宋" w:hAnsi="仿宋" w:eastAsia="仿宋"/>
                <w:color w:val="000000"/>
                <w:sz w:val="28"/>
                <w:szCs w:val="28"/>
              </w:rPr>
            </w:pPr>
            <w:r>
              <w:rPr>
                <w:rFonts w:ascii="仿宋" w:hAnsi="仿宋" w:eastAsia="仿宋"/>
                <w:color w:val="000000"/>
                <w:sz w:val="28"/>
                <w:szCs w:val="28"/>
              </w:rPr>
              <w:t>1297.02</w:t>
            </w:r>
          </w:p>
        </w:tc>
        <w:tc>
          <w:tcPr>
            <w:tcW w:w="4140" w:type="dxa"/>
            <w:vAlign w:val="center"/>
          </w:tcPr>
          <w:p>
            <w:pPr>
              <w:spacing w:line="400" w:lineRule="exact"/>
              <w:jc w:val="center"/>
              <w:rPr>
                <w:rFonts w:ascii="仿宋" w:hAnsi="仿宋" w:eastAsia="仿宋"/>
                <w:color w:val="000000"/>
                <w:sz w:val="28"/>
                <w:szCs w:val="28"/>
              </w:rPr>
            </w:pPr>
            <w:r>
              <w:rPr>
                <w:rFonts w:ascii="仿宋" w:hAnsi="仿宋" w:eastAsia="仿宋"/>
                <w:color w:val="000000"/>
                <w:sz w:val="28"/>
                <w:szCs w:val="28"/>
              </w:rPr>
              <w:t>70.00</w:t>
            </w:r>
          </w:p>
        </w:tc>
      </w:tr>
    </w:tbl>
    <w:p>
      <w:pPr>
        <w:spacing w:line="600" w:lineRule="exact"/>
        <w:rPr>
          <w:rFonts w:ascii="Times New Roman" w:hAnsi="Times New Roman" w:eastAsia="黑体"/>
          <w:color w:val="000000"/>
        </w:rPr>
      </w:pPr>
    </w:p>
    <w:p>
      <w:pPr>
        <w:ind w:firstLine="560" w:firstLineChars="200"/>
        <w:jc w:val="left"/>
        <w:rPr>
          <w:rFonts w:ascii="仿宋_GB2312" w:hAnsi="宋体" w:cs="宋体"/>
        </w:rPr>
      </w:pPr>
      <w:r>
        <w:rPr>
          <w:rFonts w:hint="eastAsia" w:ascii="仿宋" w:hAnsi="仿宋" w:eastAsia="仿宋"/>
          <w:color w:val="000000"/>
          <w:sz w:val="28"/>
          <w:szCs w:val="28"/>
        </w:rPr>
        <w:drawing>
          <wp:anchor distT="0" distB="0" distL="114300" distR="114300" simplePos="0" relativeHeight="251667456" behindDoc="0" locked="0" layoutInCell="1" allowOverlap="1">
            <wp:simplePos x="0" y="0"/>
            <wp:positionH relativeFrom="column">
              <wp:posOffset>19685</wp:posOffset>
            </wp:positionH>
            <wp:positionV relativeFrom="paragraph">
              <wp:posOffset>19685</wp:posOffset>
            </wp:positionV>
            <wp:extent cx="2401570" cy="2249170"/>
            <wp:effectExtent l="4445" t="5080" r="13335" b="1270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Times New Roman" w:hAnsi="Times New Roman" w:eastAsia="黑体"/>
          <w:color w:val="000000"/>
        </w:rPr>
        <w:drawing>
          <wp:anchor distT="0" distB="0" distL="114300" distR="114300" simplePos="0" relativeHeight="251668480" behindDoc="0" locked="0" layoutInCell="1" allowOverlap="1">
            <wp:simplePos x="0" y="0"/>
            <wp:positionH relativeFrom="column">
              <wp:posOffset>2576195</wp:posOffset>
            </wp:positionH>
            <wp:positionV relativeFrom="paragraph">
              <wp:posOffset>34925</wp:posOffset>
            </wp:positionV>
            <wp:extent cx="2747010" cy="2302510"/>
            <wp:effectExtent l="4445" t="4445" r="10795" b="1714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_GB2312" w:hAnsi="宋体" w:cs="宋体"/>
        </w:rPr>
        <w:t>年末结转合计682.13万元，其中：项目支出结转633.62万元。</w:t>
      </w:r>
    </w:p>
    <w:p>
      <w:pPr>
        <w:spacing w:line="600" w:lineRule="exact"/>
        <w:ind w:firstLine="640" w:firstLineChars="200"/>
        <w:rPr>
          <w:rFonts w:ascii="Times New Roman" w:hAnsi="Times New Roman"/>
          <w:color w:val="000000"/>
        </w:rPr>
      </w:pPr>
      <w:r>
        <w:rPr>
          <w:rFonts w:ascii="Times New Roman" w:hAnsi="Times New Roman" w:eastAsia="黑体"/>
          <w:color w:val="000000"/>
        </w:rPr>
        <w:t>四、财政拨款收支决算情况</w:t>
      </w:r>
    </w:p>
    <w:p>
      <w:pPr>
        <w:adjustRightInd w:val="0"/>
        <w:snapToGrid w:val="0"/>
        <w:spacing w:line="560" w:lineRule="exact"/>
        <w:ind w:firstLine="640" w:firstLineChars="200"/>
        <w:rPr>
          <w:rFonts w:ascii="仿宋_GB2312" w:hAnsi="宋体" w:cs="宋体"/>
        </w:rPr>
      </w:pPr>
      <w:r>
        <w:rPr>
          <w:rFonts w:hint="eastAsia" w:ascii="仿宋_GB2312" w:hAnsi="宋体" w:cs="宋体"/>
        </w:rPr>
        <w:t>遂宁市林业局2016年度财政拨款收支总决算2751.47万元。与2015年相比，财政拨款收、支总计各增加109.68万元，增长4.15%。</w:t>
      </w:r>
    </w:p>
    <w:tbl>
      <w:tblPr>
        <w:tblStyle w:val="7"/>
        <w:tblW w:w="9337" w:type="dxa"/>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1713"/>
        <w:gridCol w:w="1800"/>
        <w:gridCol w:w="1620"/>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800" w:type="dxa"/>
            <w:vMerge w:val="restart"/>
          </w:tcPr>
          <w:p>
            <w:pPr>
              <w:snapToGrid w:val="0"/>
              <w:jc w:val="center"/>
              <w:rPr>
                <w:rFonts w:ascii="仿宋" w:hAnsi="仿宋" w:eastAsia="仿宋"/>
                <w:color w:val="000000"/>
                <w:sz w:val="28"/>
                <w:szCs w:val="28"/>
              </w:rPr>
            </w:pPr>
          </w:p>
          <w:p>
            <w:pPr>
              <w:snapToGrid w:val="0"/>
              <w:jc w:val="center"/>
              <w:rPr>
                <w:rFonts w:ascii="仿宋" w:hAnsi="仿宋" w:eastAsia="仿宋"/>
                <w:color w:val="000000"/>
                <w:sz w:val="28"/>
                <w:szCs w:val="28"/>
              </w:rPr>
            </w:pPr>
            <w:r>
              <w:rPr>
                <w:rFonts w:hint="eastAsia" w:ascii="仿宋" w:hAnsi="仿宋" w:eastAsia="仿宋"/>
                <w:color w:val="000000"/>
                <w:sz w:val="28"/>
                <w:szCs w:val="28"/>
              </w:rPr>
              <w:t>名称</w:t>
            </w:r>
          </w:p>
          <w:p>
            <w:pPr>
              <w:snapToGrid w:val="0"/>
              <w:jc w:val="center"/>
              <w:rPr>
                <w:rFonts w:ascii="仿宋" w:hAnsi="仿宋" w:eastAsia="仿宋"/>
                <w:color w:val="000000"/>
                <w:sz w:val="28"/>
                <w:szCs w:val="28"/>
              </w:rPr>
            </w:pPr>
          </w:p>
          <w:p>
            <w:pPr>
              <w:spacing w:line="600" w:lineRule="exact"/>
              <w:jc w:val="center"/>
              <w:rPr>
                <w:rFonts w:ascii="仿宋" w:hAnsi="仿宋" w:eastAsia="仿宋"/>
                <w:color w:val="000000"/>
                <w:sz w:val="28"/>
                <w:szCs w:val="28"/>
              </w:rPr>
            </w:pPr>
            <w:r>
              <w:rPr>
                <w:rFonts w:hint="eastAsia" w:ascii="仿宋" w:hAnsi="仿宋" w:eastAsia="仿宋"/>
                <w:color w:val="000000"/>
                <w:sz w:val="28"/>
                <w:szCs w:val="28"/>
              </w:rPr>
              <w:t>单位</w:t>
            </w:r>
          </w:p>
        </w:tc>
        <w:tc>
          <w:tcPr>
            <w:tcW w:w="3513" w:type="dxa"/>
            <w:gridSpan w:val="2"/>
          </w:tcPr>
          <w:p>
            <w:pPr>
              <w:spacing w:line="600" w:lineRule="exact"/>
              <w:jc w:val="center"/>
              <w:rPr>
                <w:rFonts w:ascii="仿宋" w:hAnsi="仿宋" w:eastAsia="仿宋"/>
                <w:color w:val="000000"/>
                <w:sz w:val="28"/>
                <w:szCs w:val="28"/>
              </w:rPr>
            </w:pPr>
            <w:r>
              <w:rPr>
                <w:rFonts w:hint="eastAsia" w:ascii="仿宋" w:hAnsi="仿宋" w:eastAsia="仿宋"/>
                <w:color w:val="000000"/>
                <w:sz w:val="28"/>
                <w:szCs w:val="28"/>
              </w:rPr>
              <w:t>遂宁市林业局（单位：万元）</w:t>
            </w:r>
          </w:p>
        </w:tc>
        <w:tc>
          <w:tcPr>
            <w:tcW w:w="3024" w:type="dxa"/>
            <w:gridSpan w:val="2"/>
            <w:vAlign w:val="center"/>
          </w:tcPr>
          <w:p>
            <w:pPr>
              <w:spacing w:line="400" w:lineRule="exact"/>
              <w:jc w:val="center"/>
              <w:rPr>
                <w:rFonts w:ascii="仿宋" w:hAnsi="仿宋" w:eastAsia="仿宋"/>
                <w:color w:val="000000"/>
                <w:sz w:val="28"/>
                <w:szCs w:val="28"/>
              </w:rPr>
            </w:pPr>
            <w:r>
              <w:rPr>
                <w:rFonts w:hint="eastAsia" w:ascii="仿宋" w:hAnsi="仿宋" w:eastAsia="仿宋" w:cs="宋体"/>
                <w:color w:val="000000"/>
                <w:sz w:val="28"/>
                <w:szCs w:val="28"/>
              </w:rPr>
              <w:t>遂宁市森林公安局（单位：万元）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0" w:type="dxa"/>
            <w:vMerge w:val="continue"/>
            <w:vAlign w:val="center"/>
          </w:tcPr>
          <w:p>
            <w:pPr>
              <w:spacing w:line="400" w:lineRule="exact"/>
              <w:jc w:val="center"/>
              <w:rPr>
                <w:rFonts w:ascii="仿宋" w:hAnsi="仿宋" w:eastAsia="仿宋"/>
                <w:color w:val="000000"/>
                <w:sz w:val="28"/>
                <w:szCs w:val="28"/>
              </w:rPr>
            </w:pPr>
          </w:p>
        </w:tc>
        <w:tc>
          <w:tcPr>
            <w:tcW w:w="3513" w:type="dxa"/>
            <w:gridSpan w:val="2"/>
            <w:vAlign w:val="center"/>
          </w:tcPr>
          <w:p>
            <w:pPr>
              <w:spacing w:line="400" w:lineRule="exact"/>
              <w:jc w:val="center"/>
              <w:rPr>
                <w:rFonts w:ascii="仿宋" w:hAnsi="仿宋" w:eastAsia="仿宋"/>
                <w:sz w:val="28"/>
                <w:szCs w:val="28"/>
              </w:rPr>
            </w:pPr>
            <w:r>
              <w:rPr>
                <w:rFonts w:ascii="仿宋" w:hAnsi="仿宋" w:eastAsia="仿宋"/>
                <w:color w:val="000000"/>
                <w:sz w:val="28"/>
                <w:szCs w:val="28"/>
              </w:rPr>
              <w:t>2016</w:t>
            </w:r>
            <w:r>
              <w:rPr>
                <w:rFonts w:hint="eastAsia" w:ascii="仿宋" w:hAnsi="仿宋" w:eastAsia="仿宋" w:cs="宋体"/>
                <w:color w:val="000000"/>
                <w:sz w:val="28"/>
                <w:szCs w:val="28"/>
              </w:rPr>
              <w:t>年</w:t>
            </w:r>
          </w:p>
        </w:tc>
        <w:tc>
          <w:tcPr>
            <w:tcW w:w="3024" w:type="dxa"/>
            <w:gridSpan w:val="2"/>
            <w:vAlign w:val="center"/>
          </w:tcPr>
          <w:p>
            <w:pPr>
              <w:spacing w:line="400" w:lineRule="exact"/>
              <w:jc w:val="center"/>
              <w:rPr>
                <w:rFonts w:ascii="仿宋" w:hAnsi="仿宋" w:eastAsia="仿宋"/>
                <w:sz w:val="28"/>
                <w:szCs w:val="28"/>
              </w:rPr>
            </w:pPr>
            <w:r>
              <w:rPr>
                <w:rFonts w:ascii="仿宋" w:hAnsi="仿宋" w:eastAsia="仿宋"/>
                <w:color w:val="000000"/>
                <w:sz w:val="28"/>
                <w:szCs w:val="28"/>
              </w:rPr>
              <w:t>2016</w:t>
            </w:r>
            <w:r>
              <w:rPr>
                <w:rFonts w:hint="eastAsia" w:ascii="仿宋" w:hAnsi="仿宋" w:eastAsia="仿宋" w:cs="宋体"/>
                <w:color w:val="000000"/>
                <w:sz w:val="28"/>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0" w:type="dxa"/>
            <w:vAlign w:val="center"/>
          </w:tcPr>
          <w:p>
            <w:pPr>
              <w:snapToGrid w:val="0"/>
              <w:jc w:val="center"/>
              <w:rPr>
                <w:rFonts w:ascii="仿宋" w:hAnsi="仿宋" w:eastAsia="仿宋"/>
                <w:color w:val="000000"/>
                <w:sz w:val="28"/>
                <w:szCs w:val="28"/>
              </w:rPr>
            </w:pPr>
            <w:r>
              <w:rPr>
                <w:rFonts w:hint="eastAsia" w:ascii="仿宋" w:hAnsi="仿宋" w:eastAsia="仿宋" w:cs="宋体"/>
                <w:color w:val="000000"/>
                <w:sz w:val="28"/>
                <w:szCs w:val="28"/>
              </w:rPr>
              <w:t>财政拨款收入总决算</w:t>
            </w:r>
          </w:p>
        </w:tc>
        <w:tc>
          <w:tcPr>
            <w:tcW w:w="1713" w:type="dxa"/>
            <w:vAlign w:val="center"/>
          </w:tcPr>
          <w:p>
            <w:pPr>
              <w:snapToGrid w:val="0"/>
              <w:jc w:val="center"/>
              <w:rPr>
                <w:rFonts w:ascii="仿宋" w:hAnsi="仿宋" w:eastAsia="仿宋"/>
                <w:color w:val="000000"/>
                <w:sz w:val="28"/>
                <w:szCs w:val="28"/>
              </w:rPr>
            </w:pPr>
            <w:r>
              <w:rPr>
                <w:rFonts w:ascii="仿宋" w:hAnsi="仿宋" w:eastAsia="仿宋"/>
                <w:color w:val="000000"/>
                <w:sz w:val="28"/>
                <w:szCs w:val="28"/>
              </w:rPr>
              <w:t>2320.98</w:t>
            </w:r>
          </w:p>
        </w:tc>
        <w:tc>
          <w:tcPr>
            <w:tcW w:w="1800" w:type="dxa"/>
            <w:vAlign w:val="center"/>
          </w:tcPr>
          <w:p>
            <w:pPr>
              <w:snapToGrid w:val="0"/>
              <w:jc w:val="center"/>
              <w:rPr>
                <w:rFonts w:ascii="仿宋" w:hAnsi="仿宋" w:eastAsia="仿宋"/>
                <w:color w:val="000000"/>
                <w:sz w:val="28"/>
                <w:szCs w:val="28"/>
              </w:rPr>
            </w:pPr>
            <w:r>
              <w:rPr>
                <w:rFonts w:ascii="仿宋" w:hAnsi="仿宋" w:eastAsia="仿宋"/>
                <w:color w:val="000000"/>
                <w:sz w:val="28"/>
                <w:szCs w:val="28"/>
              </w:rPr>
              <w:t>2401.64</w:t>
            </w:r>
          </w:p>
        </w:tc>
        <w:tc>
          <w:tcPr>
            <w:tcW w:w="1620" w:type="dxa"/>
            <w:vAlign w:val="center"/>
          </w:tcPr>
          <w:p>
            <w:pPr>
              <w:snapToGrid w:val="0"/>
              <w:jc w:val="center"/>
              <w:rPr>
                <w:rFonts w:ascii="仿宋" w:hAnsi="仿宋" w:eastAsia="仿宋"/>
                <w:color w:val="000000"/>
                <w:sz w:val="28"/>
                <w:szCs w:val="28"/>
              </w:rPr>
            </w:pPr>
            <w:r>
              <w:rPr>
                <w:rFonts w:ascii="仿宋" w:hAnsi="仿宋" w:eastAsia="仿宋"/>
                <w:color w:val="000000"/>
                <w:sz w:val="28"/>
                <w:szCs w:val="28"/>
              </w:rPr>
              <w:t>320.81</w:t>
            </w:r>
          </w:p>
        </w:tc>
        <w:tc>
          <w:tcPr>
            <w:tcW w:w="1404" w:type="dxa"/>
            <w:vAlign w:val="center"/>
          </w:tcPr>
          <w:p>
            <w:pPr>
              <w:snapToGrid w:val="0"/>
              <w:jc w:val="center"/>
              <w:rPr>
                <w:rFonts w:ascii="仿宋" w:hAnsi="仿宋" w:eastAsia="仿宋"/>
                <w:color w:val="000000"/>
                <w:sz w:val="28"/>
                <w:szCs w:val="28"/>
              </w:rPr>
            </w:pPr>
            <w:r>
              <w:rPr>
                <w:rFonts w:ascii="仿宋" w:hAnsi="仿宋" w:eastAsia="仿宋"/>
                <w:color w:val="000000"/>
                <w:sz w:val="28"/>
                <w:szCs w:val="28"/>
              </w:rPr>
              <w:t>349.83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0" w:type="dxa"/>
            <w:vAlign w:val="center"/>
          </w:tcPr>
          <w:p>
            <w:pPr>
              <w:snapToGrid w:val="0"/>
              <w:jc w:val="center"/>
              <w:rPr>
                <w:rFonts w:ascii="仿宋" w:hAnsi="仿宋" w:eastAsia="仿宋" w:cs="宋体"/>
                <w:color w:val="000000"/>
                <w:sz w:val="28"/>
                <w:szCs w:val="28"/>
              </w:rPr>
            </w:pPr>
            <w:r>
              <w:rPr>
                <w:rFonts w:hint="eastAsia" w:ascii="仿宋" w:hAnsi="仿宋" w:eastAsia="仿宋" w:cs="宋体"/>
                <w:color w:val="000000"/>
                <w:sz w:val="28"/>
                <w:szCs w:val="28"/>
              </w:rPr>
              <w:t>财政拨款支出总决算</w:t>
            </w:r>
          </w:p>
        </w:tc>
        <w:tc>
          <w:tcPr>
            <w:tcW w:w="1713" w:type="dxa"/>
            <w:vAlign w:val="center"/>
          </w:tcPr>
          <w:p>
            <w:pPr>
              <w:snapToGrid w:val="0"/>
              <w:jc w:val="center"/>
              <w:rPr>
                <w:rFonts w:ascii="仿宋" w:hAnsi="仿宋" w:eastAsia="仿宋"/>
                <w:color w:val="000000"/>
                <w:sz w:val="28"/>
                <w:szCs w:val="28"/>
              </w:rPr>
            </w:pPr>
            <w:r>
              <w:rPr>
                <w:rFonts w:ascii="仿宋" w:hAnsi="仿宋" w:eastAsia="仿宋"/>
                <w:color w:val="000000"/>
                <w:sz w:val="28"/>
                <w:szCs w:val="28"/>
              </w:rPr>
              <w:t>2320.98</w:t>
            </w:r>
          </w:p>
        </w:tc>
        <w:tc>
          <w:tcPr>
            <w:tcW w:w="1800" w:type="dxa"/>
            <w:vAlign w:val="center"/>
          </w:tcPr>
          <w:p>
            <w:pPr>
              <w:snapToGrid w:val="0"/>
              <w:jc w:val="center"/>
              <w:rPr>
                <w:rFonts w:ascii="仿宋" w:hAnsi="仿宋" w:eastAsia="仿宋"/>
                <w:color w:val="000000"/>
                <w:sz w:val="28"/>
                <w:szCs w:val="28"/>
              </w:rPr>
            </w:pPr>
            <w:r>
              <w:rPr>
                <w:rFonts w:ascii="仿宋" w:hAnsi="仿宋" w:eastAsia="仿宋"/>
                <w:color w:val="000000"/>
                <w:sz w:val="28"/>
                <w:szCs w:val="28"/>
              </w:rPr>
              <w:t>2401.64</w:t>
            </w:r>
          </w:p>
        </w:tc>
        <w:tc>
          <w:tcPr>
            <w:tcW w:w="1620" w:type="dxa"/>
            <w:vAlign w:val="center"/>
          </w:tcPr>
          <w:p>
            <w:pPr>
              <w:snapToGrid w:val="0"/>
              <w:jc w:val="center"/>
              <w:rPr>
                <w:rFonts w:ascii="仿宋" w:hAnsi="仿宋" w:eastAsia="仿宋"/>
                <w:color w:val="000000"/>
                <w:sz w:val="28"/>
                <w:szCs w:val="28"/>
              </w:rPr>
            </w:pPr>
            <w:r>
              <w:rPr>
                <w:rFonts w:ascii="仿宋" w:hAnsi="仿宋" w:eastAsia="仿宋"/>
                <w:color w:val="000000"/>
                <w:sz w:val="28"/>
                <w:szCs w:val="28"/>
              </w:rPr>
              <w:t>320.81</w:t>
            </w:r>
          </w:p>
        </w:tc>
        <w:tc>
          <w:tcPr>
            <w:tcW w:w="1404" w:type="dxa"/>
            <w:vAlign w:val="center"/>
          </w:tcPr>
          <w:p>
            <w:pPr>
              <w:snapToGrid w:val="0"/>
              <w:jc w:val="center"/>
              <w:rPr>
                <w:rFonts w:ascii="仿宋" w:hAnsi="仿宋" w:eastAsia="仿宋"/>
                <w:color w:val="000000"/>
                <w:sz w:val="28"/>
                <w:szCs w:val="28"/>
              </w:rPr>
            </w:pPr>
            <w:r>
              <w:rPr>
                <w:rFonts w:ascii="仿宋" w:hAnsi="仿宋" w:eastAsia="仿宋"/>
                <w:color w:val="000000"/>
                <w:sz w:val="28"/>
                <w:szCs w:val="28"/>
              </w:rPr>
              <w:t>349.83</w:t>
            </w:r>
          </w:p>
        </w:tc>
      </w:tr>
    </w:tbl>
    <w:p>
      <w:pPr>
        <w:spacing w:line="600" w:lineRule="exact"/>
        <w:ind w:firstLine="642" w:firstLineChars="200"/>
        <w:rPr>
          <w:rFonts w:ascii="Times New Roman" w:hAnsi="Times New Roman" w:eastAsia="黑体"/>
          <w:color w:val="000000"/>
        </w:rPr>
      </w:pPr>
      <w:r>
        <w:rPr>
          <w:rFonts w:ascii="Times New Roman" w:hAnsi="Times New Roman"/>
          <w:b/>
          <w:i/>
          <w:color w:val="404040"/>
        </w:rPr>
        <w:drawing>
          <wp:anchor distT="0" distB="0" distL="114300" distR="114300" simplePos="0" relativeHeight="251661312" behindDoc="0" locked="0" layoutInCell="1" allowOverlap="1">
            <wp:simplePos x="0" y="0"/>
            <wp:positionH relativeFrom="column">
              <wp:posOffset>-400685</wp:posOffset>
            </wp:positionH>
            <wp:positionV relativeFrom="paragraph">
              <wp:posOffset>219075</wp:posOffset>
            </wp:positionV>
            <wp:extent cx="2786380" cy="2112645"/>
            <wp:effectExtent l="4445" t="4445" r="9525" b="16510"/>
            <wp:wrapSquare wrapText="bothSides"/>
            <wp:docPr id="22"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Times New Roman" w:hAnsi="Times New Roman"/>
          <w:color w:val="000000"/>
          <w:sz w:val="28"/>
          <w:szCs w:val="28"/>
        </w:rPr>
        <w:drawing>
          <wp:anchor distT="0" distB="0" distL="114300" distR="114300" simplePos="0" relativeHeight="251669504" behindDoc="0" locked="0" layoutInCell="1" allowOverlap="1">
            <wp:simplePos x="0" y="0"/>
            <wp:positionH relativeFrom="column">
              <wp:posOffset>2680335</wp:posOffset>
            </wp:positionH>
            <wp:positionV relativeFrom="paragraph">
              <wp:posOffset>227330</wp:posOffset>
            </wp:positionV>
            <wp:extent cx="2835275" cy="2112645"/>
            <wp:effectExtent l="4445" t="4445" r="17780" b="1651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Times New Roman" w:hAnsi="Times New Roman" w:eastAsia="黑体"/>
          <w:color w:val="000000"/>
        </w:rPr>
        <w:t>五、一般公共预算财政拨款支出决算情况</w:t>
      </w:r>
    </w:p>
    <w:p>
      <w:pPr>
        <w:spacing w:line="600" w:lineRule="exact"/>
        <w:ind w:firstLine="640" w:firstLineChars="200"/>
        <w:rPr>
          <w:rFonts w:ascii="楷体_GB2312" w:eastAsia="楷体_GB2312"/>
          <w:color w:val="000000"/>
        </w:rPr>
      </w:pPr>
      <w:r>
        <w:rPr>
          <w:rFonts w:hint="eastAsia" w:ascii="楷体_GB2312" w:eastAsia="楷体_GB2312"/>
          <w:color w:val="000000"/>
        </w:rPr>
        <w:t>（一）一般公共预算财政拨款支出决算总体情况</w:t>
      </w:r>
    </w:p>
    <w:p>
      <w:pPr>
        <w:adjustRightInd w:val="0"/>
        <w:snapToGrid w:val="0"/>
        <w:spacing w:line="560" w:lineRule="exact"/>
        <w:ind w:firstLine="960" w:firstLineChars="300"/>
        <w:rPr>
          <w:rFonts w:ascii="仿宋_GB2312" w:hAnsi="宋体" w:cs="宋体"/>
        </w:rPr>
      </w:pPr>
      <w:r>
        <w:rPr>
          <w:rFonts w:hint="eastAsia" w:ascii="仿宋_GB2312" w:hAnsi="宋体" w:cs="宋体"/>
        </w:rPr>
        <w:t>遂宁市林业局2016年度一般公共预算财政拨款支出2117.7万元，占本年支出合计的99.04%。与2015年相比，一般公共预算财政拨款增加1192.24万元，增长128.83%。</w:t>
      </w:r>
    </w:p>
    <w:tbl>
      <w:tblPr>
        <w:tblStyle w:val="7"/>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5"/>
        <w:gridCol w:w="1690"/>
        <w:gridCol w:w="1566"/>
        <w:gridCol w:w="1471"/>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725" w:type="dxa"/>
            <w:vMerge w:val="restart"/>
          </w:tcPr>
          <w:p>
            <w:pPr>
              <w:spacing w:line="400" w:lineRule="exact"/>
              <w:jc w:val="center"/>
              <w:rPr>
                <w:rFonts w:ascii="仿宋" w:hAnsi="仿宋" w:eastAsia="仿宋"/>
                <w:color w:val="000000"/>
                <w:sz w:val="28"/>
                <w:szCs w:val="28"/>
              </w:rPr>
            </w:pPr>
          </w:p>
          <w:p>
            <w:pPr>
              <w:spacing w:line="400" w:lineRule="exact"/>
              <w:jc w:val="center"/>
              <w:rPr>
                <w:rFonts w:ascii="仿宋" w:hAnsi="仿宋" w:eastAsia="仿宋"/>
                <w:color w:val="000000"/>
                <w:sz w:val="28"/>
                <w:szCs w:val="28"/>
              </w:rPr>
            </w:pPr>
          </w:p>
          <w:p>
            <w:pPr>
              <w:spacing w:line="400" w:lineRule="exact"/>
              <w:jc w:val="center"/>
              <w:rPr>
                <w:rFonts w:ascii="仿宋" w:hAnsi="仿宋" w:eastAsia="仿宋"/>
                <w:color w:val="000000"/>
                <w:sz w:val="28"/>
                <w:szCs w:val="28"/>
              </w:rPr>
            </w:pPr>
            <w:r>
              <w:rPr>
                <w:rFonts w:hint="eastAsia" w:ascii="仿宋" w:hAnsi="仿宋" w:eastAsia="仿宋"/>
                <w:color w:val="000000"/>
                <w:sz w:val="28"/>
                <w:szCs w:val="28"/>
              </w:rPr>
              <w:tab/>
            </w:r>
            <w:r>
              <w:rPr>
                <w:rFonts w:hint="eastAsia" w:ascii="仿宋" w:hAnsi="仿宋" w:eastAsia="仿宋"/>
                <w:color w:val="000000"/>
                <w:sz w:val="28"/>
                <w:szCs w:val="28"/>
              </w:rPr>
              <w:t>名称</w:t>
            </w:r>
          </w:p>
          <w:p>
            <w:pPr>
              <w:spacing w:line="400" w:lineRule="exact"/>
              <w:jc w:val="center"/>
              <w:rPr>
                <w:rFonts w:ascii="仿宋" w:hAnsi="仿宋" w:eastAsia="仿宋"/>
                <w:color w:val="000000"/>
                <w:sz w:val="28"/>
                <w:szCs w:val="28"/>
              </w:rPr>
            </w:pPr>
            <w:r>
              <w:rPr>
                <w:rFonts w:hint="eastAsia" w:ascii="仿宋" w:hAnsi="仿宋" w:eastAsia="仿宋"/>
                <w:color w:val="000000"/>
                <w:sz w:val="28"/>
                <w:szCs w:val="28"/>
              </w:rPr>
              <w:t>单位</w:t>
            </w:r>
          </w:p>
        </w:tc>
        <w:tc>
          <w:tcPr>
            <w:tcW w:w="3256" w:type="dxa"/>
            <w:gridSpan w:val="2"/>
            <w:vAlign w:val="center"/>
          </w:tcPr>
          <w:p>
            <w:pPr>
              <w:spacing w:line="400" w:lineRule="exact"/>
              <w:jc w:val="center"/>
              <w:rPr>
                <w:rFonts w:ascii="仿宋" w:hAnsi="仿宋" w:eastAsia="仿宋"/>
                <w:color w:val="000000"/>
                <w:sz w:val="28"/>
                <w:szCs w:val="28"/>
              </w:rPr>
            </w:pPr>
            <w:r>
              <w:rPr>
                <w:rFonts w:hint="eastAsia" w:ascii="仿宋" w:hAnsi="仿宋" w:eastAsia="仿宋"/>
                <w:color w:val="000000"/>
                <w:sz w:val="28"/>
                <w:szCs w:val="28"/>
              </w:rPr>
              <w:t>遂宁市林业局</w:t>
            </w:r>
          </w:p>
          <w:p>
            <w:pPr>
              <w:spacing w:line="400" w:lineRule="exact"/>
              <w:jc w:val="center"/>
              <w:rPr>
                <w:rFonts w:ascii="仿宋" w:hAnsi="仿宋" w:eastAsia="仿宋"/>
                <w:color w:val="000000"/>
                <w:sz w:val="28"/>
                <w:szCs w:val="28"/>
              </w:rPr>
            </w:pPr>
            <w:r>
              <w:rPr>
                <w:rFonts w:hint="eastAsia" w:ascii="仿宋" w:hAnsi="仿宋" w:eastAsia="仿宋"/>
                <w:color w:val="000000"/>
                <w:sz w:val="28"/>
                <w:szCs w:val="28"/>
              </w:rPr>
              <w:t>（单位：万元）</w:t>
            </w:r>
          </w:p>
        </w:tc>
        <w:tc>
          <w:tcPr>
            <w:tcW w:w="3259" w:type="dxa"/>
            <w:gridSpan w:val="2"/>
            <w:vAlign w:val="center"/>
          </w:tcPr>
          <w:p>
            <w:pPr>
              <w:spacing w:line="400" w:lineRule="exact"/>
              <w:jc w:val="center"/>
              <w:rPr>
                <w:rFonts w:ascii="仿宋" w:hAnsi="仿宋" w:eastAsia="仿宋"/>
                <w:color w:val="000000"/>
                <w:sz w:val="28"/>
                <w:szCs w:val="28"/>
              </w:rPr>
            </w:pPr>
            <w:r>
              <w:rPr>
                <w:rFonts w:hint="eastAsia" w:ascii="仿宋" w:hAnsi="仿宋" w:eastAsia="仿宋"/>
                <w:color w:val="000000"/>
                <w:sz w:val="28"/>
                <w:szCs w:val="28"/>
              </w:rPr>
              <w:t>遂宁市森林公安局</w:t>
            </w:r>
          </w:p>
          <w:p>
            <w:pPr>
              <w:spacing w:line="400" w:lineRule="exact"/>
              <w:jc w:val="center"/>
              <w:rPr>
                <w:rFonts w:ascii="仿宋" w:hAnsi="仿宋" w:eastAsia="仿宋"/>
                <w:color w:val="000000"/>
                <w:sz w:val="28"/>
                <w:szCs w:val="28"/>
              </w:rPr>
            </w:pPr>
            <w:r>
              <w:rPr>
                <w:rFonts w:hint="eastAsia" w:ascii="仿宋" w:hAnsi="仿宋" w:eastAsia="仿宋"/>
                <w:color w:val="000000"/>
                <w:sz w:val="28"/>
                <w:szCs w:val="2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725" w:type="dxa"/>
            <w:vMerge w:val="continue"/>
          </w:tcPr>
          <w:p>
            <w:pPr>
              <w:spacing w:line="400" w:lineRule="exact"/>
              <w:jc w:val="center"/>
              <w:rPr>
                <w:rFonts w:ascii="仿宋" w:hAnsi="仿宋" w:eastAsia="仿宋"/>
                <w:color w:val="000000"/>
                <w:sz w:val="28"/>
                <w:szCs w:val="28"/>
              </w:rPr>
            </w:pPr>
          </w:p>
        </w:tc>
        <w:tc>
          <w:tcPr>
            <w:tcW w:w="1690" w:type="dxa"/>
          </w:tcPr>
          <w:p>
            <w:pPr>
              <w:spacing w:line="400" w:lineRule="exact"/>
              <w:jc w:val="center"/>
              <w:rPr>
                <w:rFonts w:ascii="仿宋" w:hAnsi="仿宋" w:eastAsia="仿宋"/>
                <w:color w:val="000000"/>
                <w:sz w:val="28"/>
                <w:szCs w:val="28"/>
              </w:rPr>
            </w:pPr>
            <w:r>
              <w:rPr>
                <w:rFonts w:hint="eastAsia" w:ascii="仿宋" w:hAnsi="仿宋" w:eastAsia="仿宋"/>
                <w:color w:val="000000"/>
                <w:sz w:val="28"/>
                <w:szCs w:val="28"/>
              </w:rPr>
              <w:t>2015年</w:t>
            </w:r>
          </w:p>
        </w:tc>
        <w:tc>
          <w:tcPr>
            <w:tcW w:w="1566" w:type="dxa"/>
          </w:tcPr>
          <w:p>
            <w:pPr>
              <w:spacing w:line="400" w:lineRule="exact"/>
              <w:jc w:val="center"/>
            </w:pPr>
            <w:r>
              <w:rPr>
                <w:rFonts w:hint="eastAsia" w:ascii="仿宋" w:hAnsi="仿宋" w:eastAsia="仿宋"/>
                <w:color w:val="000000"/>
                <w:sz w:val="28"/>
                <w:szCs w:val="28"/>
              </w:rPr>
              <w:t>2016年</w:t>
            </w:r>
          </w:p>
        </w:tc>
        <w:tc>
          <w:tcPr>
            <w:tcW w:w="1471" w:type="dxa"/>
          </w:tcPr>
          <w:p>
            <w:pPr>
              <w:spacing w:line="400" w:lineRule="exact"/>
              <w:jc w:val="center"/>
              <w:rPr>
                <w:rFonts w:ascii="仿宋" w:hAnsi="仿宋" w:eastAsia="仿宋"/>
                <w:color w:val="000000"/>
                <w:sz w:val="28"/>
                <w:szCs w:val="28"/>
              </w:rPr>
            </w:pPr>
            <w:r>
              <w:rPr>
                <w:rFonts w:hint="eastAsia" w:ascii="仿宋" w:hAnsi="仿宋" w:eastAsia="仿宋"/>
                <w:color w:val="000000"/>
                <w:sz w:val="28"/>
                <w:szCs w:val="28"/>
              </w:rPr>
              <w:t>2015年</w:t>
            </w:r>
          </w:p>
        </w:tc>
        <w:tc>
          <w:tcPr>
            <w:tcW w:w="1788" w:type="dxa"/>
          </w:tcPr>
          <w:p>
            <w:pPr>
              <w:spacing w:line="400" w:lineRule="exact"/>
              <w:jc w:val="center"/>
            </w:pPr>
            <w:r>
              <w:rPr>
                <w:rFonts w:hint="eastAsia" w:ascii="仿宋" w:hAnsi="仿宋" w:eastAsia="仿宋"/>
                <w:color w:val="000000"/>
                <w:sz w:val="28"/>
                <w:szCs w:val="28"/>
              </w:rPr>
              <w:t>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725" w:type="dxa"/>
          </w:tcPr>
          <w:p>
            <w:pPr>
              <w:spacing w:line="400" w:lineRule="exact"/>
              <w:jc w:val="center"/>
              <w:rPr>
                <w:rFonts w:ascii="仿宋" w:hAnsi="仿宋" w:eastAsia="仿宋"/>
                <w:color w:val="000000"/>
                <w:sz w:val="28"/>
                <w:szCs w:val="28"/>
              </w:rPr>
            </w:pPr>
            <w:r>
              <w:rPr>
                <w:rFonts w:hint="eastAsia" w:ascii="仿宋" w:hAnsi="仿宋" w:eastAsia="仿宋"/>
                <w:color w:val="000000"/>
                <w:sz w:val="28"/>
                <w:szCs w:val="28"/>
              </w:rPr>
              <w:t>一般公共预算财政拨款支出</w:t>
            </w:r>
          </w:p>
        </w:tc>
        <w:tc>
          <w:tcPr>
            <w:tcW w:w="1690" w:type="dxa"/>
          </w:tcPr>
          <w:p>
            <w:pPr>
              <w:spacing w:line="400" w:lineRule="exact"/>
              <w:jc w:val="center"/>
              <w:rPr>
                <w:rFonts w:ascii="仿宋" w:hAnsi="仿宋" w:eastAsia="仿宋"/>
                <w:color w:val="000000"/>
                <w:sz w:val="28"/>
                <w:szCs w:val="28"/>
              </w:rPr>
            </w:pPr>
            <w:r>
              <w:rPr>
                <w:rFonts w:hint="eastAsia" w:ascii="仿宋" w:hAnsi="仿宋" w:eastAsia="仿宋"/>
                <w:color w:val="000000"/>
                <w:sz w:val="28"/>
                <w:szCs w:val="28"/>
              </w:rPr>
              <w:t>644.33</w:t>
            </w:r>
          </w:p>
        </w:tc>
        <w:tc>
          <w:tcPr>
            <w:tcW w:w="1566" w:type="dxa"/>
          </w:tcPr>
          <w:p>
            <w:pPr>
              <w:spacing w:line="400" w:lineRule="exact"/>
              <w:jc w:val="center"/>
              <w:rPr>
                <w:rFonts w:ascii="仿宋" w:hAnsi="仿宋" w:eastAsia="仿宋"/>
                <w:color w:val="000000"/>
                <w:sz w:val="28"/>
                <w:szCs w:val="28"/>
              </w:rPr>
            </w:pPr>
            <w:r>
              <w:rPr>
                <w:rFonts w:hint="eastAsia" w:ascii="仿宋" w:hAnsi="仿宋" w:eastAsia="仿宋"/>
                <w:color w:val="000000"/>
                <w:sz w:val="28"/>
                <w:szCs w:val="28"/>
              </w:rPr>
              <w:t>1793.72</w:t>
            </w:r>
          </w:p>
        </w:tc>
        <w:tc>
          <w:tcPr>
            <w:tcW w:w="1471" w:type="dxa"/>
          </w:tcPr>
          <w:p>
            <w:pPr>
              <w:spacing w:line="400" w:lineRule="exact"/>
              <w:jc w:val="center"/>
              <w:rPr>
                <w:rFonts w:ascii="仿宋" w:hAnsi="仿宋" w:eastAsia="仿宋"/>
                <w:color w:val="000000"/>
                <w:sz w:val="28"/>
                <w:szCs w:val="28"/>
              </w:rPr>
            </w:pPr>
            <w:r>
              <w:rPr>
                <w:rFonts w:hint="eastAsia" w:ascii="仿宋" w:hAnsi="仿宋" w:eastAsia="仿宋"/>
                <w:color w:val="000000"/>
                <w:sz w:val="28"/>
                <w:szCs w:val="28"/>
              </w:rPr>
              <w:t>281.13</w:t>
            </w:r>
          </w:p>
        </w:tc>
        <w:tc>
          <w:tcPr>
            <w:tcW w:w="1788" w:type="dxa"/>
          </w:tcPr>
          <w:p>
            <w:pPr>
              <w:spacing w:line="400" w:lineRule="exact"/>
              <w:jc w:val="center"/>
              <w:rPr>
                <w:rFonts w:ascii="仿宋" w:hAnsi="仿宋" w:eastAsia="仿宋"/>
                <w:color w:val="000000"/>
                <w:sz w:val="28"/>
                <w:szCs w:val="28"/>
              </w:rPr>
            </w:pPr>
            <w:r>
              <w:rPr>
                <w:rFonts w:hint="eastAsia" w:ascii="仿宋" w:hAnsi="仿宋" w:eastAsia="仿宋"/>
                <w:color w:val="000000"/>
                <w:sz w:val="28"/>
                <w:szCs w:val="28"/>
              </w:rPr>
              <w:t>323.98</w:t>
            </w:r>
          </w:p>
        </w:tc>
      </w:tr>
    </w:tbl>
    <w:p>
      <w:pPr>
        <w:spacing w:line="600" w:lineRule="exact"/>
        <w:rPr>
          <w:rFonts w:ascii="楷体_GB2312" w:eastAsia="楷体_GB2312"/>
          <w:color w:val="000000"/>
        </w:rPr>
      </w:pPr>
      <w:r>
        <w:rPr>
          <w:rFonts w:hint="eastAsia" w:ascii="楷体_GB2312" w:eastAsia="楷体_GB2312"/>
          <w:color w:val="000000"/>
        </w:rPr>
        <w:drawing>
          <wp:anchor distT="0" distB="0" distL="114300" distR="114300" simplePos="0" relativeHeight="251670528" behindDoc="0" locked="0" layoutInCell="1" allowOverlap="1">
            <wp:simplePos x="0" y="0"/>
            <wp:positionH relativeFrom="column">
              <wp:posOffset>2630805</wp:posOffset>
            </wp:positionH>
            <wp:positionV relativeFrom="paragraph">
              <wp:posOffset>226695</wp:posOffset>
            </wp:positionV>
            <wp:extent cx="2595245" cy="2173605"/>
            <wp:effectExtent l="4445" t="4445" r="10160" b="1270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楷体_GB2312" w:eastAsia="楷体_GB2312"/>
          <w:color w:val="000000"/>
        </w:rPr>
        <w:drawing>
          <wp:anchor distT="0" distB="0" distL="114300" distR="114300" simplePos="0" relativeHeight="251662336" behindDoc="0" locked="0" layoutInCell="1" allowOverlap="1">
            <wp:simplePos x="0" y="0"/>
            <wp:positionH relativeFrom="column">
              <wp:posOffset>-103505</wp:posOffset>
            </wp:positionH>
            <wp:positionV relativeFrom="paragraph">
              <wp:posOffset>212090</wp:posOffset>
            </wp:positionV>
            <wp:extent cx="2550160" cy="2215515"/>
            <wp:effectExtent l="4445" t="4445" r="17145" b="8890"/>
            <wp:wrapSquare wrapText="bothSides"/>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楷体_GB2312" w:eastAsia="楷体_GB2312"/>
          <w:color w:val="000000"/>
        </w:rPr>
        <w:t>（二）一般公共预算财政拨款支出决算结构情况</w:t>
      </w:r>
    </w:p>
    <w:p>
      <w:pPr>
        <w:adjustRightInd w:val="0"/>
        <w:snapToGrid w:val="0"/>
        <w:spacing w:line="560" w:lineRule="exact"/>
        <w:ind w:firstLine="640" w:firstLineChars="200"/>
        <w:rPr>
          <w:rFonts w:ascii="仿宋_GB2312" w:hAnsi="宋体" w:cs="宋体"/>
        </w:rPr>
      </w:pPr>
      <w:r>
        <w:rPr>
          <w:rFonts w:hint="eastAsia" w:ascii="仿宋_GB2312" w:hAnsi="宋体" w:cs="宋体"/>
        </w:rPr>
        <w:t>遂宁市林业局2016年一般公共预算财政拨款支出2117.7万元，主要用于以下方面:公共安全支出30.59万元，占1.44%；社会保障和就业支出4.63万元，占0.22%；医疗卫生与计划生育支出26.83万元，占1.27%；农林水支出2023.04万元，占95.53%；住房保障支出32.62万元，占1.54%。</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napToGrid w:val="0"/>
              <w:jc w:val="center"/>
              <w:rPr>
                <w:rFonts w:ascii="Times New Roman" w:hAnsi="Times New Roman"/>
                <w:color w:val="000000"/>
                <w:sz w:val="28"/>
                <w:szCs w:val="28"/>
              </w:rPr>
            </w:pPr>
            <w:r>
              <w:rPr>
                <w:rFonts w:hint="eastAsia" w:ascii="Times New Roman" w:hAnsi="Times New Roman"/>
                <w:color w:val="000000"/>
                <w:sz w:val="28"/>
                <w:szCs w:val="28"/>
              </w:rPr>
              <w:t>项目</w:t>
            </w:r>
          </w:p>
        </w:tc>
        <w:tc>
          <w:tcPr>
            <w:tcW w:w="2841" w:type="dxa"/>
          </w:tcPr>
          <w:p>
            <w:pPr>
              <w:snapToGrid w:val="0"/>
              <w:jc w:val="center"/>
              <w:rPr>
                <w:rFonts w:ascii="Times New Roman" w:hAnsi="Times New Roman"/>
                <w:color w:val="000000"/>
                <w:sz w:val="28"/>
                <w:szCs w:val="28"/>
              </w:rPr>
            </w:pPr>
            <w:r>
              <w:rPr>
                <w:rFonts w:hint="eastAsia" w:ascii="Times New Roman" w:hAnsi="Times New Roman"/>
                <w:color w:val="000000"/>
                <w:sz w:val="28"/>
                <w:szCs w:val="28"/>
              </w:rPr>
              <w:t>百分比（%）</w:t>
            </w:r>
          </w:p>
        </w:tc>
        <w:tc>
          <w:tcPr>
            <w:tcW w:w="2841" w:type="dxa"/>
          </w:tcPr>
          <w:p>
            <w:pPr>
              <w:snapToGrid w:val="0"/>
              <w:jc w:val="center"/>
              <w:rPr>
                <w:rFonts w:ascii="Times New Roman" w:hAnsi="Times New Roman"/>
                <w:color w:val="000000"/>
                <w:sz w:val="28"/>
                <w:szCs w:val="28"/>
              </w:rPr>
            </w:pPr>
            <w:r>
              <w:rPr>
                <w:rFonts w:hint="eastAsia" w:ascii="Times New Roman" w:hAnsi="Times New Roman"/>
                <w:color w:val="000000"/>
                <w:sz w:val="28"/>
                <w:szCs w:val="28"/>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napToGrid w:val="0"/>
              <w:jc w:val="center"/>
              <w:rPr>
                <w:rFonts w:ascii="Times New Roman" w:hAnsi="Times New Roman"/>
                <w:color w:val="000000"/>
                <w:sz w:val="28"/>
                <w:szCs w:val="28"/>
              </w:rPr>
            </w:pPr>
            <w:r>
              <w:rPr>
                <w:rFonts w:hint="eastAsia" w:ascii="宋体" w:hAnsi="宋体" w:cs="宋体"/>
                <w:color w:val="000000"/>
                <w:sz w:val="28"/>
                <w:szCs w:val="28"/>
              </w:rPr>
              <w:t>公共安全支出</w:t>
            </w:r>
          </w:p>
        </w:tc>
        <w:tc>
          <w:tcPr>
            <w:tcW w:w="2841" w:type="dxa"/>
          </w:tcPr>
          <w:p>
            <w:pPr>
              <w:snapToGrid w:val="0"/>
              <w:jc w:val="center"/>
              <w:rPr>
                <w:rFonts w:ascii="Times New Roman" w:hAnsi="Times New Roman"/>
                <w:color w:val="000000"/>
                <w:sz w:val="28"/>
                <w:szCs w:val="28"/>
              </w:rPr>
            </w:pPr>
            <w:r>
              <w:rPr>
                <w:rFonts w:ascii="Times New Roman" w:hAnsi="Times New Roman"/>
                <w:color w:val="000000"/>
                <w:sz w:val="28"/>
                <w:szCs w:val="28"/>
              </w:rPr>
              <w:t>1.43</w:t>
            </w:r>
          </w:p>
        </w:tc>
        <w:tc>
          <w:tcPr>
            <w:tcW w:w="2841" w:type="dxa"/>
          </w:tcPr>
          <w:p>
            <w:pPr>
              <w:snapToGrid w:val="0"/>
              <w:jc w:val="center"/>
              <w:rPr>
                <w:rFonts w:ascii="Times New Roman" w:hAnsi="Times New Roman"/>
                <w:color w:val="000000"/>
                <w:sz w:val="28"/>
                <w:szCs w:val="28"/>
              </w:rPr>
            </w:pPr>
            <w:r>
              <w:rPr>
                <w:rFonts w:ascii="Times New Roman" w:hAnsi="Times New Roman"/>
                <w:color w:val="000000"/>
                <w:sz w:val="28"/>
                <w:szCs w:val="28"/>
              </w:rPr>
              <w:t>30.59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napToGrid w:val="0"/>
              <w:jc w:val="center"/>
              <w:rPr>
                <w:rFonts w:ascii="Times New Roman" w:hAnsi="Times New Roman"/>
                <w:color w:val="000000"/>
                <w:sz w:val="28"/>
                <w:szCs w:val="28"/>
              </w:rPr>
            </w:pPr>
            <w:r>
              <w:rPr>
                <w:rFonts w:hint="eastAsia" w:ascii="宋体" w:hAnsi="宋体" w:cs="宋体"/>
                <w:color w:val="000000"/>
                <w:sz w:val="28"/>
                <w:szCs w:val="28"/>
              </w:rPr>
              <w:t>社会保障和就业支出</w:t>
            </w:r>
          </w:p>
        </w:tc>
        <w:tc>
          <w:tcPr>
            <w:tcW w:w="2841" w:type="dxa"/>
          </w:tcPr>
          <w:p>
            <w:pPr>
              <w:snapToGrid w:val="0"/>
              <w:jc w:val="center"/>
              <w:rPr>
                <w:rFonts w:ascii="Times New Roman" w:hAnsi="Times New Roman"/>
                <w:color w:val="000000"/>
                <w:sz w:val="28"/>
                <w:szCs w:val="28"/>
              </w:rPr>
            </w:pPr>
            <w:r>
              <w:rPr>
                <w:rFonts w:ascii="Times New Roman" w:hAnsi="Times New Roman"/>
                <w:color w:val="000000"/>
                <w:sz w:val="28"/>
                <w:szCs w:val="28"/>
              </w:rPr>
              <w:t>0.22</w:t>
            </w:r>
          </w:p>
        </w:tc>
        <w:tc>
          <w:tcPr>
            <w:tcW w:w="2841" w:type="dxa"/>
          </w:tcPr>
          <w:p>
            <w:pPr>
              <w:snapToGrid w:val="0"/>
              <w:jc w:val="center"/>
              <w:rPr>
                <w:rFonts w:ascii="Times New Roman" w:hAnsi="Times New Roman"/>
                <w:color w:val="000000"/>
                <w:sz w:val="28"/>
                <w:szCs w:val="28"/>
              </w:rPr>
            </w:pPr>
            <w:r>
              <w:rPr>
                <w:rFonts w:ascii="Times New Roman" w:hAnsi="Times New Roman"/>
                <w:color w:val="000000"/>
                <w:sz w:val="28"/>
                <w:szCs w:val="28"/>
              </w:rPr>
              <w:t>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napToGrid w:val="0"/>
              <w:jc w:val="center"/>
              <w:rPr>
                <w:rFonts w:ascii="Times New Roman" w:hAnsi="Times New Roman"/>
                <w:color w:val="000000"/>
                <w:sz w:val="28"/>
                <w:szCs w:val="28"/>
              </w:rPr>
            </w:pPr>
            <w:r>
              <w:rPr>
                <w:rFonts w:hint="eastAsia" w:ascii="宋体" w:hAnsi="宋体" w:cs="宋体"/>
                <w:color w:val="000000"/>
                <w:sz w:val="28"/>
                <w:szCs w:val="28"/>
              </w:rPr>
              <w:t>医疗卫生与计划生育支出</w:t>
            </w:r>
          </w:p>
        </w:tc>
        <w:tc>
          <w:tcPr>
            <w:tcW w:w="2841" w:type="dxa"/>
          </w:tcPr>
          <w:p>
            <w:pPr>
              <w:snapToGrid w:val="0"/>
              <w:jc w:val="center"/>
              <w:rPr>
                <w:rFonts w:ascii="Times New Roman" w:hAnsi="Times New Roman"/>
                <w:color w:val="000000"/>
                <w:sz w:val="28"/>
                <w:szCs w:val="28"/>
              </w:rPr>
            </w:pPr>
            <w:r>
              <w:rPr>
                <w:rFonts w:ascii="Times New Roman" w:hAnsi="Times New Roman"/>
                <w:color w:val="000000"/>
                <w:sz w:val="28"/>
                <w:szCs w:val="28"/>
              </w:rPr>
              <w:t>1.27</w:t>
            </w:r>
          </w:p>
        </w:tc>
        <w:tc>
          <w:tcPr>
            <w:tcW w:w="2841" w:type="dxa"/>
          </w:tcPr>
          <w:p>
            <w:pPr>
              <w:snapToGrid w:val="0"/>
              <w:jc w:val="center"/>
              <w:rPr>
                <w:rFonts w:ascii="Times New Roman" w:hAnsi="Times New Roman"/>
                <w:color w:val="000000"/>
                <w:sz w:val="28"/>
                <w:szCs w:val="28"/>
              </w:rPr>
            </w:pPr>
            <w:r>
              <w:rPr>
                <w:rFonts w:ascii="Times New Roman" w:hAnsi="Times New Roman"/>
                <w:color w:val="000000"/>
                <w:sz w:val="28"/>
                <w:szCs w:val="28"/>
              </w:rPr>
              <w:t>26.83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napToGrid w:val="0"/>
              <w:jc w:val="center"/>
              <w:rPr>
                <w:rFonts w:ascii="Times New Roman" w:hAnsi="Times New Roman"/>
                <w:color w:val="000000"/>
                <w:sz w:val="28"/>
                <w:szCs w:val="28"/>
              </w:rPr>
            </w:pPr>
            <w:r>
              <w:rPr>
                <w:rFonts w:hint="eastAsia" w:ascii="宋体" w:hAnsi="宋体" w:cs="宋体"/>
                <w:color w:val="000000"/>
                <w:sz w:val="28"/>
                <w:szCs w:val="28"/>
              </w:rPr>
              <w:t>农林水支出</w:t>
            </w:r>
          </w:p>
        </w:tc>
        <w:tc>
          <w:tcPr>
            <w:tcW w:w="2841" w:type="dxa"/>
          </w:tcPr>
          <w:p>
            <w:pPr>
              <w:snapToGrid w:val="0"/>
              <w:jc w:val="center"/>
              <w:rPr>
                <w:rFonts w:ascii="Times New Roman" w:hAnsi="Times New Roman"/>
                <w:color w:val="000000"/>
                <w:sz w:val="28"/>
                <w:szCs w:val="28"/>
              </w:rPr>
            </w:pPr>
            <w:r>
              <w:rPr>
                <w:rFonts w:ascii="Times New Roman" w:hAnsi="Times New Roman"/>
                <w:color w:val="000000"/>
                <w:sz w:val="28"/>
                <w:szCs w:val="28"/>
              </w:rPr>
              <w:t>95.53</w:t>
            </w:r>
          </w:p>
        </w:tc>
        <w:tc>
          <w:tcPr>
            <w:tcW w:w="2841" w:type="dxa"/>
          </w:tcPr>
          <w:p>
            <w:pPr>
              <w:snapToGrid w:val="0"/>
              <w:jc w:val="center"/>
              <w:rPr>
                <w:rFonts w:ascii="Times New Roman" w:hAnsi="Times New Roman"/>
                <w:color w:val="000000"/>
                <w:sz w:val="28"/>
                <w:szCs w:val="28"/>
              </w:rPr>
            </w:pPr>
            <w:r>
              <w:rPr>
                <w:rFonts w:ascii="Times New Roman" w:hAnsi="Times New Roman"/>
                <w:color w:val="000000"/>
                <w:sz w:val="28"/>
                <w:szCs w:val="28"/>
              </w:rPr>
              <w:t>2023.04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napToGrid w:val="0"/>
              <w:jc w:val="center"/>
              <w:rPr>
                <w:rFonts w:ascii="Times New Roman" w:hAnsi="Times New Roman"/>
                <w:color w:val="000000"/>
                <w:sz w:val="28"/>
                <w:szCs w:val="28"/>
              </w:rPr>
            </w:pPr>
            <w:r>
              <w:rPr>
                <w:rFonts w:hint="eastAsia" w:ascii="宋体" w:hAnsi="宋体" w:cs="宋体"/>
                <w:color w:val="000000"/>
                <w:sz w:val="28"/>
                <w:szCs w:val="28"/>
              </w:rPr>
              <w:t>住房保障支出</w:t>
            </w:r>
          </w:p>
        </w:tc>
        <w:tc>
          <w:tcPr>
            <w:tcW w:w="2841" w:type="dxa"/>
          </w:tcPr>
          <w:p>
            <w:pPr>
              <w:snapToGrid w:val="0"/>
              <w:jc w:val="center"/>
              <w:rPr>
                <w:rFonts w:ascii="Times New Roman" w:hAnsi="Times New Roman"/>
                <w:color w:val="000000"/>
                <w:sz w:val="28"/>
                <w:szCs w:val="28"/>
              </w:rPr>
            </w:pPr>
            <w:r>
              <w:rPr>
                <w:rFonts w:ascii="Times New Roman" w:hAnsi="Times New Roman"/>
                <w:color w:val="000000"/>
                <w:sz w:val="28"/>
                <w:szCs w:val="28"/>
              </w:rPr>
              <w:t>1.54</w:t>
            </w:r>
          </w:p>
        </w:tc>
        <w:tc>
          <w:tcPr>
            <w:tcW w:w="2841" w:type="dxa"/>
          </w:tcPr>
          <w:p>
            <w:pPr>
              <w:snapToGrid w:val="0"/>
              <w:jc w:val="center"/>
              <w:rPr>
                <w:rFonts w:ascii="Times New Roman" w:hAnsi="Times New Roman"/>
                <w:color w:val="000000"/>
                <w:sz w:val="28"/>
                <w:szCs w:val="28"/>
              </w:rPr>
            </w:pPr>
            <w:r>
              <w:rPr>
                <w:rFonts w:ascii="Times New Roman" w:hAnsi="Times New Roman"/>
                <w:color w:val="000000"/>
                <w:sz w:val="28"/>
                <w:szCs w:val="28"/>
              </w:rPr>
              <w:t>32.62</w:t>
            </w:r>
          </w:p>
        </w:tc>
      </w:tr>
    </w:tbl>
    <w:p>
      <w:pPr>
        <w:snapToGrid w:val="0"/>
        <w:jc w:val="center"/>
        <w:rPr>
          <w:rFonts w:ascii="Times New Roman" w:hAnsi="Times New Roman"/>
          <w:color w:val="000000"/>
        </w:rPr>
      </w:pPr>
      <w:r>
        <w:rPr>
          <w:rFonts w:hint="eastAsia" w:ascii="Times New Roman" w:hAnsi="Times New Roman"/>
          <w:color w:val="000000"/>
          <w:sz w:val="28"/>
          <w:szCs w:val="28"/>
        </w:rPr>
        <w:drawing>
          <wp:inline distT="0" distB="0" distL="114300" distR="114300">
            <wp:extent cx="4360545" cy="3133725"/>
            <wp:effectExtent l="4445" t="4445" r="16510" b="508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ascii="楷体_GB2312" w:eastAsia="楷体_GB2312"/>
          <w:color w:val="000000"/>
        </w:rPr>
      </w:pPr>
      <w:r>
        <w:rPr>
          <w:rFonts w:hint="eastAsia" w:ascii="楷体_GB2312" w:eastAsia="楷体_GB2312"/>
          <w:color w:val="000000"/>
        </w:rPr>
        <w:t>（三）一般公共预算财政拨款支出决算具体情况</w:t>
      </w:r>
    </w:p>
    <w:p>
      <w:pPr>
        <w:spacing w:line="600" w:lineRule="exact"/>
        <w:ind w:firstLine="642" w:firstLineChars="200"/>
        <w:rPr>
          <w:rFonts w:ascii="仿宋_GB2312" w:hAnsi="宋体" w:cs="宋体"/>
        </w:rPr>
      </w:pPr>
      <w:r>
        <w:rPr>
          <w:rStyle w:val="10"/>
          <w:rFonts w:ascii="Times New Roman" w:hAnsi="Times New Roman"/>
          <w:color w:val="000000"/>
        </w:rPr>
        <w:t xml:space="preserve">1. </w:t>
      </w:r>
      <w:r>
        <w:rPr>
          <w:rStyle w:val="10"/>
          <w:rFonts w:hint="eastAsia" w:ascii="宋体" w:hAnsi="宋体" w:cs="宋体"/>
          <w:color w:val="000000"/>
        </w:rPr>
        <w:t>公共安全支出</w:t>
      </w:r>
      <w:r>
        <w:rPr>
          <w:rStyle w:val="10"/>
          <w:rFonts w:ascii="Times New Roman" w:hAnsi="Times New Roman"/>
          <w:color w:val="000000"/>
        </w:rPr>
        <w:t>:</w:t>
      </w:r>
      <w:r>
        <w:rPr>
          <w:rFonts w:hint="eastAsia" w:ascii="仿宋_GB2312" w:hAnsi="宋体" w:cs="宋体"/>
        </w:rPr>
        <w:t>2016年决算数为30.59万元，完成预算100%，主要用于：市森林公安局在职民警法定节假日之外加班津贴、值勤岗位津贴和调整后部分警衔津贴，决算数与预算数持平。</w:t>
      </w:r>
    </w:p>
    <w:p>
      <w:pPr>
        <w:ind w:firstLine="642" w:firstLineChars="200"/>
        <w:rPr>
          <w:rFonts w:ascii="仿宋_GB2312" w:hAnsi="宋体" w:cs="宋体"/>
        </w:rPr>
      </w:pPr>
      <w:r>
        <w:rPr>
          <w:rStyle w:val="10"/>
          <w:rFonts w:ascii="Times New Roman" w:hAnsi="Times New Roman"/>
          <w:color w:val="000000"/>
        </w:rPr>
        <w:t xml:space="preserve">2. </w:t>
      </w:r>
      <w:r>
        <w:rPr>
          <w:rStyle w:val="10"/>
          <w:rFonts w:hint="eastAsia" w:ascii="宋体" w:hAnsi="宋体" w:cs="宋体"/>
          <w:color w:val="000000"/>
        </w:rPr>
        <w:t>社会保障和就业支出</w:t>
      </w:r>
      <w:r>
        <w:rPr>
          <w:rStyle w:val="10"/>
          <w:rFonts w:ascii="Times New Roman" w:hAnsi="Times New Roman"/>
          <w:color w:val="000000"/>
        </w:rPr>
        <w:t>:</w:t>
      </w:r>
      <w:r>
        <w:rPr>
          <w:rFonts w:hint="eastAsia" w:ascii="仿宋_GB2312" w:hAnsi="宋体" w:cs="宋体"/>
        </w:rPr>
        <w:t>2016年决算数为4.63万元，完成预算100%，其中：市林业局4.57万元，市森林公安局0.06万元。主要用于：退休人员的退休费及生活补贴和死亡职工抚恤金及遗属的生活补助，决算数与预算数持平。</w:t>
      </w:r>
    </w:p>
    <w:p>
      <w:pPr>
        <w:spacing w:line="600" w:lineRule="exact"/>
        <w:ind w:firstLine="642" w:firstLineChars="200"/>
        <w:rPr>
          <w:rFonts w:ascii="Times New Roman" w:hAnsi="Times New Roman"/>
          <w:color w:val="000000"/>
        </w:rPr>
      </w:pPr>
      <w:r>
        <w:rPr>
          <w:rStyle w:val="10"/>
          <w:rFonts w:ascii="Times New Roman" w:hAnsi="Times New Roman"/>
          <w:color w:val="000000"/>
        </w:rPr>
        <w:t xml:space="preserve">3. </w:t>
      </w:r>
      <w:r>
        <w:rPr>
          <w:rStyle w:val="10"/>
          <w:rFonts w:hint="eastAsia" w:ascii="宋体" w:hAnsi="宋体" w:cs="宋体"/>
          <w:color w:val="000000"/>
        </w:rPr>
        <w:t>医疗卫生与计划生育支出</w:t>
      </w:r>
      <w:r>
        <w:rPr>
          <w:rStyle w:val="10"/>
          <w:rFonts w:ascii="Times New Roman" w:hAnsi="Times New Roman"/>
          <w:color w:val="000000"/>
        </w:rPr>
        <w:t>:</w:t>
      </w:r>
      <w:r>
        <w:rPr>
          <w:rFonts w:hint="eastAsia" w:ascii="仿宋_GB2312" w:hAnsi="宋体" w:cs="宋体"/>
        </w:rPr>
        <w:t>2016年决算数为26.83万元，完成预算100%，其中：市林业局19.63万元，市森林公安局7.2万元。主要用于：本单位退休职工及在职职工的医疗保险等社会保障缴费，决算数与预算数持平。</w:t>
      </w:r>
    </w:p>
    <w:p>
      <w:pPr>
        <w:spacing w:line="600" w:lineRule="exact"/>
        <w:ind w:firstLine="642" w:firstLineChars="200"/>
        <w:rPr>
          <w:rFonts w:ascii="仿宋_GB2312" w:hAnsi="宋体" w:cs="宋体"/>
        </w:rPr>
      </w:pPr>
      <w:r>
        <w:rPr>
          <w:rStyle w:val="10"/>
          <w:rFonts w:ascii="Times New Roman" w:hAnsi="Times New Roman"/>
          <w:color w:val="000000"/>
        </w:rPr>
        <w:t xml:space="preserve">4. </w:t>
      </w:r>
      <w:r>
        <w:rPr>
          <w:rStyle w:val="10"/>
          <w:rFonts w:hint="eastAsia" w:ascii="宋体" w:hAnsi="宋体" w:cs="宋体"/>
          <w:color w:val="000000"/>
        </w:rPr>
        <w:t>农林水支出</w:t>
      </w:r>
      <w:r>
        <w:rPr>
          <w:rStyle w:val="10"/>
          <w:rFonts w:ascii="Times New Roman" w:hAnsi="Times New Roman"/>
          <w:color w:val="000000"/>
        </w:rPr>
        <w:t>:</w:t>
      </w:r>
      <w:r>
        <w:rPr>
          <w:rFonts w:hint="eastAsia" w:ascii="仿宋_GB2312" w:hAnsi="宋体" w:cs="宋体"/>
        </w:rPr>
        <w:t>2016年决算数为2023.04万元，完成预算76.15%，其中：市林业局林业行政运行、一般行政管理事务、林业事业机构、森林培育、森林生态效益补偿、湿地保护、林业防灾减灾及其他林业支出共1745.91万元，市森林公安局林业行政运行、一般行政管理事务、林业执法与监督及其他林业支出共277.13万元。主要用于：市林业局机关及市森林公安局在职人员基本工资、津补贴以及为保障单位正常运转需开支的办公费、印刷费、水电费、办公设备购置等日常公用经费。市林业局机关及市森林公安局因工作需要特定完成各类专项性事务，如森林培育、森林生态效益补偿、湿地保护、林业执法监督等各方面，决算数小于预算数的原因是森林植被恢复费、森林公安补助资金等专项资金未使用结转到下年。</w:t>
      </w:r>
    </w:p>
    <w:p>
      <w:pPr>
        <w:spacing w:line="600" w:lineRule="exact"/>
        <w:ind w:firstLine="642" w:firstLineChars="200"/>
        <w:rPr>
          <w:rFonts w:ascii="Times New Roman" w:hAnsi="Times New Roman"/>
          <w:color w:val="000000"/>
        </w:rPr>
      </w:pPr>
      <w:r>
        <w:rPr>
          <w:rStyle w:val="10"/>
          <w:rFonts w:ascii="Times New Roman" w:hAnsi="Times New Roman"/>
          <w:color w:val="000000"/>
        </w:rPr>
        <w:t xml:space="preserve">5. </w:t>
      </w:r>
      <w:r>
        <w:rPr>
          <w:rStyle w:val="10"/>
          <w:rFonts w:hint="eastAsia" w:ascii="宋体" w:hAnsi="宋体" w:cs="宋体"/>
          <w:color w:val="000000"/>
        </w:rPr>
        <w:t>住房保障支出</w:t>
      </w:r>
      <w:r>
        <w:rPr>
          <w:rStyle w:val="10"/>
          <w:rFonts w:ascii="Times New Roman" w:hAnsi="Times New Roman"/>
          <w:color w:val="000000"/>
        </w:rPr>
        <w:t>:</w:t>
      </w:r>
      <w:r>
        <w:rPr>
          <w:rFonts w:hint="eastAsia" w:ascii="仿宋_GB2312" w:hAnsi="宋体" w:cs="宋体"/>
        </w:rPr>
        <w:t>2016年决算数为32.62元，完成预算100%，主要用于市林业局机关及市森林公安局在职人员住房公积金缴费，决算数与预算数持平</w:t>
      </w:r>
      <w:r>
        <w:rPr>
          <w:rFonts w:hint="eastAsia" w:ascii="宋体" w:hAnsi="宋体" w:cs="宋体"/>
          <w:color w:val="000000"/>
        </w:rPr>
        <w:t>。</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1838"/>
        <w:gridCol w:w="2150"/>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line="600" w:lineRule="exact"/>
              <w:rPr>
                <w:rFonts w:ascii="Times New Roman" w:hAnsi="Times New Roman"/>
                <w:color w:val="000000"/>
              </w:rPr>
            </w:pPr>
            <w:r>
              <w:rPr>
                <w:rFonts w:hint="eastAsia" w:ascii="宋体" w:hAnsi="宋体" w:cs="宋体"/>
                <w:color w:val="000000"/>
              </w:rPr>
              <w:t>支出功能分类</w:t>
            </w:r>
          </w:p>
        </w:tc>
        <w:tc>
          <w:tcPr>
            <w:tcW w:w="1838" w:type="dxa"/>
          </w:tcPr>
          <w:p>
            <w:pPr>
              <w:spacing w:line="600" w:lineRule="exact"/>
              <w:rPr>
                <w:rFonts w:ascii="Times New Roman" w:hAnsi="Times New Roman"/>
                <w:color w:val="000000"/>
              </w:rPr>
            </w:pPr>
            <w:r>
              <w:rPr>
                <w:rFonts w:hint="eastAsia" w:ascii="宋体" w:hAnsi="宋体" w:cs="宋体"/>
                <w:color w:val="000000"/>
              </w:rPr>
              <w:t>金额（万元）</w:t>
            </w:r>
          </w:p>
        </w:tc>
        <w:tc>
          <w:tcPr>
            <w:tcW w:w="2150" w:type="dxa"/>
          </w:tcPr>
          <w:p>
            <w:pPr>
              <w:spacing w:line="600" w:lineRule="exact"/>
              <w:rPr>
                <w:rFonts w:ascii="Times New Roman" w:hAnsi="Times New Roman"/>
                <w:color w:val="000000"/>
              </w:rPr>
            </w:pPr>
            <w:r>
              <w:rPr>
                <w:rFonts w:hint="eastAsia" w:ascii="宋体" w:hAnsi="宋体" w:cs="宋体"/>
                <w:color w:val="000000"/>
              </w:rPr>
              <w:t>支出功能分类</w:t>
            </w:r>
          </w:p>
        </w:tc>
        <w:tc>
          <w:tcPr>
            <w:tcW w:w="2367" w:type="dxa"/>
          </w:tcPr>
          <w:p>
            <w:pPr>
              <w:spacing w:line="600" w:lineRule="exact"/>
              <w:rPr>
                <w:rFonts w:ascii="Times New Roman" w:hAnsi="Times New Roman"/>
                <w:color w:val="000000"/>
              </w:rPr>
            </w:pPr>
            <w:r>
              <w:rPr>
                <w:rFonts w:hint="eastAsia" w:ascii="宋体" w:hAnsi="宋体" w:cs="宋体"/>
                <w:color w:val="000000"/>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line="600" w:lineRule="exact"/>
              <w:jc w:val="center"/>
              <w:rPr>
                <w:rFonts w:ascii="Times New Roman" w:hAnsi="Times New Roman"/>
                <w:color w:val="000000"/>
              </w:rPr>
            </w:pPr>
            <w:r>
              <w:rPr>
                <w:rFonts w:ascii="Times New Roman" w:hAnsi="Times New Roman"/>
                <w:color w:val="000000"/>
              </w:rPr>
              <w:t>2040201</w:t>
            </w:r>
          </w:p>
        </w:tc>
        <w:tc>
          <w:tcPr>
            <w:tcW w:w="1838" w:type="dxa"/>
          </w:tcPr>
          <w:p>
            <w:pPr>
              <w:spacing w:line="600" w:lineRule="exact"/>
              <w:jc w:val="center"/>
              <w:rPr>
                <w:rFonts w:ascii="Times New Roman" w:hAnsi="Times New Roman"/>
                <w:color w:val="000000"/>
              </w:rPr>
            </w:pPr>
            <w:r>
              <w:rPr>
                <w:rFonts w:ascii="Times New Roman" w:hAnsi="Times New Roman"/>
                <w:color w:val="000000"/>
              </w:rPr>
              <w:t>30.59</w:t>
            </w:r>
          </w:p>
        </w:tc>
        <w:tc>
          <w:tcPr>
            <w:tcW w:w="2150" w:type="dxa"/>
          </w:tcPr>
          <w:p>
            <w:pPr>
              <w:spacing w:line="600" w:lineRule="exact"/>
              <w:jc w:val="center"/>
              <w:rPr>
                <w:rFonts w:ascii="Times New Roman" w:hAnsi="Times New Roman"/>
                <w:color w:val="000000"/>
              </w:rPr>
            </w:pPr>
            <w:r>
              <w:rPr>
                <w:rFonts w:ascii="Times New Roman" w:hAnsi="Times New Roman"/>
                <w:color w:val="000000"/>
              </w:rPr>
              <w:t>2130209</w:t>
            </w:r>
          </w:p>
        </w:tc>
        <w:tc>
          <w:tcPr>
            <w:tcW w:w="2367" w:type="dxa"/>
          </w:tcPr>
          <w:p>
            <w:pPr>
              <w:spacing w:line="600" w:lineRule="exact"/>
              <w:jc w:val="center"/>
              <w:rPr>
                <w:rFonts w:ascii="Times New Roman" w:hAnsi="Times New Roman"/>
                <w:color w:val="000000"/>
              </w:rPr>
            </w:pPr>
            <w:r>
              <w:rPr>
                <w:rFonts w:ascii="Times New Roman" w:hAnsi="Times New Roman"/>
                <w:color w:val="000000"/>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line="600" w:lineRule="exact"/>
              <w:jc w:val="center"/>
              <w:rPr>
                <w:rFonts w:ascii="Times New Roman" w:hAnsi="Times New Roman"/>
                <w:color w:val="000000"/>
              </w:rPr>
            </w:pPr>
            <w:r>
              <w:rPr>
                <w:rFonts w:ascii="Times New Roman" w:hAnsi="Times New Roman"/>
                <w:color w:val="000000"/>
              </w:rPr>
              <w:t>2080504</w:t>
            </w:r>
          </w:p>
        </w:tc>
        <w:tc>
          <w:tcPr>
            <w:tcW w:w="1838" w:type="dxa"/>
          </w:tcPr>
          <w:p>
            <w:pPr>
              <w:spacing w:line="600" w:lineRule="exact"/>
              <w:jc w:val="center"/>
              <w:rPr>
                <w:rFonts w:ascii="Times New Roman" w:hAnsi="Times New Roman"/>
                <w:color w:val="000000"/>
              </w:rPr>
            </w:pPr>
            <w:r>
              <w:rPr>
                <w:rFonts w:ascii="Times New Roman" w:hAnsi="Times New Roman"/>
                <w:color w:val="000000"/>
              </w:rPr>
              <w:t>1.16</w:t>
            </w:r>
          </w:p>
        </w:tc>
        <w:tc>
          <w:tcPr>
            <w:tcW w:w="2150" w:type="dxa"/>
          </w:tcPr>
          <w:p>
            <w:pPr>
              <w:spacing w:line="600" w:lineRule="exact"/>
              <w:jc w:val="center"/>
              <w:rPr>
                <w:rFonts w:ascii="Times New Roman" w:hAnsi="Times New Roman"/>
                <w:color w:val="000000"/>
              </w:rPr>
            </w:pPr>
            <w:r>
              <w:rPr>
                <w:rFonts w:ascii="Times New Roman" w:hAnsi="Times New Roman"/>
                <w:color w:val="000000"/>
              </w:rPr>
              <w:t>2130211</w:t>
            </w:r>
          </w:p>
        </w:tc>
        <w:tc>
          <w:tcPr>
            <w:tcW w:w="2367" w:type="dxa"/>
          </w:tcPr>
          <w:p>
            <w:pPr>
              <w:spacing w:line="600" w:lineRule="exact"/>
              <w:jc w:val="center"/>
              <w:rPr>
                <w:rFonts w:ascii="Times New Roman" w:hAnsi="Times New Roman"/>
                <w:color w:val="000000"/>
              </w:rPr>
            </w:pPr>
            <w:r>
              <w:rPr>
                <w:rFonts w:ascii="Times New Roman" w:hAnsi="Times New Roman"/>
                <w:color w:val="00000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67" w:type="dxa"/>
          </w:tcPr>
          <w:p>
            <w:pPr>
              <w:spacing w:line="600" w:lineRule="exact"/>
              <w:jc w:val="center"/>
              <w:rPr>
                <w:rFonts w:ascii="Times New Roman" w:hAnsi="Times New Roman"/>
                <w:color w:val="000000"/>
              </w:rPr>
            </w:pPr>
            <w:r>
              <w:rPr>
                <w:rFonts w:ascii="Times New Roman" w:hAnsi="Times New Roman"/>
                <w:color w:val="000000"/>
              </w:rPr>
              <w:t>2080599</w:t>
            </w:r>
          </w:p>
        </w:tc>
        <w:tc>
          <w:tcPr>
            <w:tcW w:w="1838" w:type="dxa"/>
          </w:tcPr>
          <w:p>
            <w:pPr>
              <w:spacing w:line="600" w:lineRule="exact"/>
              <w:jc w:val="center"/>
              <w:rPr>
                <w:rFonts w:ascii="Times New Roman" w:hAnsi="Times New Roman"/>
                <w:color w:val="000000"/>
              </w:rPr>
            </w:pPr>
            <w:r>
              <w:rPr>
                <w:rFonts w:ascii="Times New Roman" w:hAnsi="Times New Roman"/>
                <w:color w:val="000000"/>
              </w:rPr>
              <w:t>0.06</w:t>
            </w:r>
          </w:p>
        </w:tc>
        <w:tc>
          <w:tcPr>
            <w:tcW w:w="2150" w:type="dxa"/>
          </w:tcPr>
          <w:p>
            <w:pPr>
              <w:spacing w:line="600" w:lineRule="exact"/>
              <w:jc w:val="center"/>
              <w:rPr>
                <w:rFonts w:ascii="Times New Roman" w:hAnsi="Times New Roman"/>
                <w:color w:val="000000"/>
              </w:rPr>
            </w:pPr>
            <w:r>
              <w:rPr>
                <w:rFonts w:ascii="Times New Roman" w:hAnsi="Times New Roman"/>
                <w:color w:val="000000"/>
              </w:rPr>
              <w:t>2130212</w:t>
            </w:r>
          </w:p>
        </w:tc>
        <w:tc>
          <w:tcPr>
            <w:tcW w:w="2367" w:type="dxa"/>
          </w:tcPr>
          <w:p>
            <w:pPr>
              <w:spacing w:line="600" w:lineRule="exact"/>
              <w:jc w:val="center"/>
              <w:rPr>
                <w:rFonts w:ascii="Times New Roman" w:hAnsi="Times New Roman"/>
                <w:color w:val="000000"/>
              </w:rPr>
            </w:pPr>
            <w:r>
              <w:rPr>
                <w:rFonts w:ascii="Times New Roman" w:hAnsi="Times New Roman"/>
                <w:color w:val="000000"/>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line="600" w:lineRule="exact"/>
              <w:jc w:val="center"/>
              <w:rPr>
                <w:rFonts w:ascii="Times New Roman" w:hAnsi="Times New Roman"/>
                <w:color w:val="000000"/>
              </w:rPr>
            </w:pPr>
            <w:r>
              <w:rPr>
                <w:rFonts w:ascii="Times New Roman" w:hAnsi="Times New Roman"/>
                <w:color w:val="000000"/>
              </w:rPr>
              <w:t>2080801</w:t>
            </w:r>
          </w:p>
        </w:tc>
        <w:tc>
          <w:tcPr>
            <w:tcW w:w="1838" w:type="dxa"/>
          </w:tcPr>
          <w:p>
            <w:pPr>
              <w:spacing w:line="600" w:lineRule="exact"/>
              <w:jc w:val="center"/>
              <w:rPr>
                <w:rFonts w:ascii="Times New Roman" w:hAnsi="Times New Roman"/>
                <w:color w:val="000000"/>
              </w:rPr>
            </w:pPr>
            <w:r>
              <w:rPr>
                <w:rFonts w:ascii="Times New Roman" w:hAnsi="Times New Roman"/>
                <w:color w:val="000000"/>
              </w:rPr>
              <w:t>3.41</w:t>
            </w:r>
          </w:p>
        </w:tc>
        <w:tc>
          <w:tcPr>
            <w:tcW w:w="2150" w:type="dxa"/>
          </w:tcPr>
          <w:p>
            <w:pPr>
              <w:spacing w:line="600" w:lineRule="exact"/>
              <w:jc w:val="center"/>
              <w:rPr>
                <w:rFonts w:ascii="Times New Roman" w:hAnsi="Times New Roman"/>
                <w:color w:val="000000"/>
              </w:rPr>
            </w:pPr>
            <w:r>
              <w:rPr>
                <w:rFonts w:ascii="Times New Roman" w:hAnsi="Times New Roman"/>
                <w:color w:val="000000"/>
              </w:rPr>
              <w:t>2130213</w:t>
            </w:r>
          </w:p>
        </w:tc>
        <w:tc>
          <w:tcPr>
            <w:tcW w:w="2367" w:type="dxa"/>
          </w:tcPr>
          <w:p>
            <w:pPr>
              <w:spacing w:line="600" w:lineRule="exact"/>
              <w:jc w:val="center"/>
              <w:rPr>
                <w:rFonts w:ascii="Times New Roman" w:hAnsi="Times New Roman"/>
                <w:color w:val="000000"/>
              </w:rPr>
            </w:pPr>
            <w:r>
              <w:rPr>
                <w:rFonts w:ascii="Times New Roman" w:hAnsi="Times New Roman"/>
                <w:color w:val="000000"/>
              </w:rPr>
              <w:t>31.84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line="600" w:lineRule="exact"/>
              <w:jc w:val="center"/>
              <w:rPr>
                <w:rFonts w:ascii="Times New Roman" w:hAnsi="Times New Roman"/>
                <w:color w:val="000000"/>
              </w:rPr>
            </w:pPr>
            <w:r>
              <w:rPr>
                <w:rFonts w:ascii="Times New Roman" w:hAnsi="Times New Roman"/>
                <w:color w:val="000000"/>
              </w:rPr>
              <w:t>2100501</w:t>
            </w:r>
          </w:p>
        </w:tc>
        <w:tc>
          <w:tcPr>
            <w:tcW w:w="1838" w:type="dxa"/>
          </w:tcPr>
          <w:p>
            <w:pPr>
              <w:spacing w:line="600" w:lineRule="exact"/>
              <w:jc w:val="center"/>
              <w:rPr>
                <w:rFonts w:ascii="Times New Roman" w:hAnsi="Times New Roman"/>
                <w:color w:val="000000"/>
              </w:rPr>
            </w:pPr>
            <w:r>
              <w:rPr>
                <w:rFonts w:ascii="Times New Roman" w:hAnsi="Times New Roman"/>
                <w:color w:val="000000"/>
              </w:rPr>
              <w:t>17.28</w:t>
            </w:r>
          </w:p>
        </w:tc>
        <w:tc>
          <w:tcPr>
            <w:tcW w:w="2150" w:type="dxa"/>
          </w:tcPr>
          <w:p>
            <w:pPr>
              <w:spacing w:line="600" w:lineRule="exact"/>
              <w:jc w:val="center"/>
              <w:rPr>
                <w:rFonts w:ascii="Times New Roman" w:hAnsi="Times New Roman"/>
                <w:color w:val="000000"/>
              </w:rPr>
            </w:pPr>
            <w:r>
              <w:rPr>
                <w:rFonts w:ascii="Times New Roman" w:hAnsi="Times New Roman"/>
                <w:color w:val="000000"/>
              </w:rPr>
              <w:t>2130234</w:t>
            </w:r>
          </w:p>
        </w:tc>
        <w:tc>
          <w:tcPr>
            <w:tcW w:w="2367" w:type="dxa"/>
          </w:tcPr>
          <w:p>
            <w:pPr>
              <w:spacing w:line="600" w:lineRule="exact"/>
              <w:jc w:val="center"/>
              <w:rPr>
                <w:rFonts w:ascii="Times New Roman" w:hAnsi="Times New Roman"/>
                <w:color w:val="000000"/>
              </w:rPr>
            </w:pPr>
            <w:r>
              <w:rPr>
                <w:rFonts w:ascii="Times New Roman" w:hAnsi="Times New Roman"/>
                <w:color w:val="000000"/>
              </w:rPr>
              <w:t>133.07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line="600" w:lineRule="exact"/>
              <w:jc w:val="center"/>
              <w:rPr>
                <w:rFonts w:ascii="Times New Roman" w:hAnsi="Times New Roman"/>
                <w:color w:val="000000"/>
              </w:rPr>
            </w:pPr>
            <w:r>
              <w:rPr>
                <w:rFonts w:ascii="Times New Roman" w:hAnsi="Times New Roman"/>
                <w:color w:val="000000"/>
              </w:rPr>
              <w:t>2100502</w:t>
            </w:r>
          </w:p>
        </w:tc>
        <w:tc>
          <w:tcPr>
            <w:tcW w:w="1838" w:type="dxa"/>
          </w:tcPr>
          <w:p>
            <w:pPr>
              <w:spacing w:line="600" w:lineRule="exact"/>
              <w:jc w:val="center"/>
              <w:rPr>
                <w:rFonts w:ascii="Times New Roman" w:hAnsi="Times New Roman"/>
                <w:color w:val="000000"/>
              </w:rPr>
            </w:pPr>
            <w:r>
              <w:rPr>
                <w:rFonts w:ascii="Times New Roman" w:hAnsi="Times New Roman"/>
                <w:color w:val="000000"/>
              </w:rPr>
              <w:t>9.55</w:t>
            </w:r>
          </w:p>
        </w:tc>
        <w:tc>
          <w:tcPr>
            <w:tcW w:w="2150" w:type="dxa"/>
          </w:tcPr>
          <w:p>
            <w:pPr>
              <w:spacing w:line="600" w:lineRule="exact"/>
              <w:jc w:val="center"/>
              <w:rPr>
                <w:rFonts w:ascii="Times New Roman" w:hAnsi="Times New Roman"/>
                <w:color w:val="000000"/>
              </w:rPr>
            </w:pPr>
            <w:r>
              <w:rPr>
                <w:rFonts w:ascii="Times New Roman" w:hAnsi="Times New Roman"/>
                <w:color w:val="000000"/>
              </w:rPr>
              <w:t>2130299</w:t>
            </w:r>
          </w:p>
        </w:tc>
        <w:tc>
          <w:tcPr>
            <w:tcW w:w="2367" w:type="dxa"/>
          </w:tcPr>
          <w:p>
            <w:pPr>
              <w:spacing w:line="600" w:lineRule="exact"/>
              <w:jc w:val="center"/>
              <w:rPr>
                <w:rFonts w:ascii="Times New Roman" w:hAnsi="Times New Roman"/>
                <w:color w:val="000000"/>
              </w:rPr>
            </w:pPr>
            <w:r>
              <w:rPr>
                <w:rFonts w:ascii="Times New Roman" w:hAnsi="Times New Roman"/>
                <w:color w:val="000000"/>
              </w:rPr>
              <w:t>30.04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67" w:type="dxa"/>
          </w:tcPr>
          <w:p>
            <w:pPr>
              <w:spacing w:line="600" w:lineRule="exact"/>
              <w:jc w:val="center"/>
              <w:rPr>
                <w:rFonts w:ascii="Times New Roman" w:hAnsi="Times New Roman"/>
                <w:color w:val="000000"/>
              </w:rPr>
            </w:pPr>
            <w:r>
              <w:rPr>
                <w:rFonts w:ascii="Times New Roman" w:hAnsi="Times New Roman"/>
                <w:color w:val="000000"/>
              </w:rPr>
              <w:t>2130201</w:t>
            </w:r>
          </w:p>
        </w:tc>
        <w:tc>
          <w:tcPr>
            <w:tcW w:w="1838" w:type="dxa"/>
          </w:tcPr>
          <w:p>
            <w:pPr>
              <w:spacing w:line="600" w:lineRule="exact"/>
              <w:jc w:val="center"/>
              <w:rPr>
                <w:rFonts w:ascii="Times New Roman" w:hAnsi="Times New Roman"/>
                <w:color w:val="000000"/>
              </w:rPr>
            </w:pPr>
            <w:r>
              <w:rPr>
                <w:rFonts w:ascii="Times New Roman" w:hAnsi="Times New Roman"/>
                <w:color w:val="000000"/>
              </w:rPr>
              <w:t>464.84</w:t>
            </w:r>
          </w:p>
        </w:tc>
        <w:tc>
          <w:tcPr>
            <w:tcW w:w="2150" w:type="dxa"/>
          </w:tcPr>
          <w:p>
            <w:pPr>
              <w:spacing w:line="600" w:lineRule="exact"/>
              <w:jc w:val="center"/>
              <w:rPr>
                <w:rFonts w:ascii="Times New Roman" w:hAnsi="Times New Roman"/>
                <w:color w:val="000000"/>
              </w:rPr>
            </w:pPr>
            <w:r>
              <w:rPr>
                <w:rFonts w:ascii="Times New Roman" w:hAnsi="Times New Roman"/>
                <w:color w:val="000000"/>
              </w:rPr>
              <w:t>2130601</w:t>
            </w:r>
          </w:p>
        </w:tc>
        <w:tc>
          <w:tcPr>
            <w:tcW w:w="2367" w:type="dxa"/>
          </w:tcPr>
          <w:p>
            <w:pPr>
              <w:spacing w:line="600" w:lineRule="exact"/>
              <w:jc w:val="center"/>
              <w:rPr>
                <w:rFonts w:ascii="Times New Roman" w:hAnsi="Times New Roman"/>
                <w:color w:val="000000"/>
              </w:rPr>
            </w:pPr>
            <w:r>
              <w:rPr>
                <w:rFonts w:ascii="Times New Roman" w:hAnsi="Times New Roman"/>
                <w:color w:val="000000"/>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line="600" w:lineRule="exact"/>
              <w:jc w:val="center"/>
              <w:rPr>
                <w:rFonts w:ascii="Times New Roman" w:hAnsi="Times New Roman"/>
                <w:color w:val="000000"/>
              </w:rPr>
            </w:pPr>
            <w:r>
              <w:rPr>
                <w:rFonts w:ascii="Times New Roman" w:hAnsi="Times New Roman"/>
                <w:color w:val="000000"/>
              </w:rPr>
              <w:t>2130202</w:t>
            </w:r>
          </w:p>
        </w:tc>
        <w:tc>
          <w:tcPr>
            <w:tcW w:w="1838" w:type="dxa"/>
          </w:tcPr>
          <w:p>
            <w:pPr>
              <w:spacing w:line="600" w:lineRule="exact"/>
              <w:jc w:val="center"/>
              <w:rPr>
                <w:rFonts w:ascii="Times New Roman" w:hAnsi="Times New Roman"/>
                <w:color w:val="000000"/>
              </w:rPr>
            </w:pPr>
            <w:r>
              <w:rPr>
                <w:rFonts w:ascii="Times New Roman" w:hAnsi="Times New Roman"/>
                <w:color w:val="000000"/>
              </w:rPr>
              <w:t>24.94</w:t>
            </w:r>
          </w:p>
        </w:tc>
        <w:tc>
          <w:tcPr>
            <w:tcW w:w="2150" w:type="dxa"/>
          </w:tcPr>
          <w:p>
            <w:pPr>
              <w:spacing w:line="600" w:lineRule="exact"/>
              <w:jc w:val="center"/>
              <w:rPr>
                <w:rFonts w:ascii="Times New Roman" w:hAnsi="Times New Roman"/>
                <w:color w:val="000000"/>
              </w:rPr>
            </w:pPr>
            <w:r>
              <w:rPr>
                <w:rFonts w:ascii="Times New Roman" w:hAnsi="Times New Roman"/>
                <w:color w:val="000000"/>
              </w:rPr>
              <w:t>2139999</w:t>
            </w:r>
          </w:p>
        </w:tc>
        <w:tc>
          <w:tcPr>
            <w:tcW w:w="2367" w:type="dxa"/>
          </w:tcPr>
          <w:p>
            <w:pPr>
              <w:spacing w:line="600" w:lineRule="exact"/>
              <w:jc w:val="center"/>
              <w:rPr>
                <w:rFonts w:ascii="Times New Roman" w:hAnsi="Times New Roman"/>
                <w:color w:val="000000"/>
              </w:rPr>
            </w:pPr>
            <w:r>
              <w:rPr>
                <w:rFonts w:ascii="Times New Roman" w:hAnsi="Times New Roman"/>
                <w:color w:val="000000"/>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line="600" w:lineRule="exact"/>
              <w:jc w:val="center"/>
              <w:rPr>
                <w:rFonts w:ascii="Times New Roman" w:hAnsi="Times New Roman"/>
                <w:color w:val="000000"/>
              </w:rPr>
            </w:pPr>
            <w:r>
              <w:rPr>
                <w:rFonts w:ascii="Times New Roman" w:hAnsi="Times New Roman"/>
                <w:color w:val="000000"/>
              </w:rPr>
              <w:t>2130204</w:t>
            </w:r>
          </w:p>
        </w:tc>
        <w:tc>
          <w:tcPr>
            <w:tcW w:w="1838" w:type="dxa"/>
          </w:tcPr>
          <w:p>
            <w:pPr>
              <w:spacing w:line="600" w:lineRule="exact"/>
              <w:jc w:val="center"/>
              <w:rPr>
                <w:rFonts w:ascii="Times New Roman" w:hAnsi="Times New Roman"/>
                <w:color w:val="000000"/>
              </w:rPr>
            </w:pPr>
            <w:r>
              <w:rPr>
                <w:rFonts w:ascii="Times New Roman" w:hAnsi="Times New Roman"/>
                <w:color w:val="000000"/>
              </w:rPr>
              <w:t>194.47</w:t>
            </w:r>
          </w:p>
        </w:tc>
        <w:tc>
          <w:tcPr>
            <w:tcW w:w="2150" w:type="dxa"/>
          </w:tcPr>
          <w:p>
            <w:pPr>
              <w:spacing w:line="600" w:lineRule="exact"/>
              <w:jc w:val="center"/>
              <w:rPr>
                <w:rFonts w:ascii="Times New Roman" w:hAnsi="Times New Roman"/>
                <w:color w:val="000000"/>
              </w:rPr>
            </w:pPr>
            <w:r>
              <w:rPr>
                <w:rFonts w:ascii="Times New Roman" w:hAnsi="Times New Roman"/>
                <w:color w:val="000000"/>
              </w:rPr>
              <w:t>2210201</w:t>
            </w:r>
          </w:p>
        </w:tc>
        <w:tc>
          <w:tcPr>
            <w:tcW w:w="2367" w:type="dxa"/>
          </w:tcPr>
          <w:p>
            <w:pPr>
              <w:spacing w:line="600" w:lineRule="exact"/>
              <w:jc w:val="center"/>
            </w:pPr>
            <w:r>
              <w:rPr>
                <w:rFonts w:ascii="Times New Roman" w:hAnsi="Times New Roman"/>
                <w:color w:val="000000"/>
              </w:rPr>
              <w:t>32.62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line="600" w:lineRule="exact"/>
              <w:jc w:val="center"/>
              <w:rPr>
                <w:rFonts w:ascii="Times New Roman" w:hAnsi="Times New Roman"/>
                <w:color w:val="000000"/>
              </w:rPr>
            </w:pPr>
            <w:r>
              <w:rPr>
                <w:rFonts w:ascii="Times New Roman" w:hAnsi="Times New Roman"/>
                <w:color w:val="000000"/>
              </w:rPr>
              <w:t>2130205</w:t>
            </w:r>
          </w:p>
        </w:tc>
        <w:tc>
          <w:tcPr>
            <w:tcW w:w="1838" w:type="dxa"/>
          </w:tcPr>
          <w:p>
            <w:pPr>
              <w:spacing w:line="600" w:lineRule="exact"/>
              <w:jc w:val="center"/>
              <w:rPr>
                <w:rFonts w:ascii="Times New Roman" w:hAnsi="Times New Roman"/>
                <w:color w:val="000000"/>
              </w:rPr>
            </w:pPr>
            <w:r>
              <w:rPr>
                <w:rFonts w:ascii="Times New Roman" w:hAnsi="Times New Roman"/>
                <w:color w:val="000000"/>
              </w:rPr>
              <w:t>1116.84</w:t>
            </w:r>
          </w:p>
        </w:tc>
        <w:tc>
          <w:tcPr>
            <w:tcW w:w="2150" w:type="dxa"/>
          </w:tcPr>
          <w:p>
            <w:pPr>
              <w:spacing w:line="600" w:lineRule="exact"/>
              <w:jc w:val="center"/>
              <w:rPr>
                <w:rFonts w:ascii="Times New Roman" w:hAnsi="Times New Roman"/>
                <w:color w:val="000000"/>
              </w:rPr>
            </w:pPr>
            <w:r>
              <w:rPr>
                <w:rFonts w:hint="eastAsia" w:ascii="宋体" w:hAnsi="宋体" w:cs="宋体"/>
                <w:color w:val="000000"/>
              </w:rPr>
              <w:t>合计</w:t>
            </w:r>
          </w:p>
        </w:tc>
        <w:tc>
          <w:tcPr>
            <w:tcW w:w="2367" w:type="dxa"/>
          </w:tcPr>
          <w:p>
            <w:pPr>
              <w:spacing w:line="600" w:lineRule="exact"/>
              <w:jc w:val="center"/>
            </w:pPr>
            <w:r>
              <w:rPr>
                <w:rFonts w:ascii="Times New Roman" w:hAnsi="Times New Roman"/>
                <w:color w:val="000000"/>
              </w:rPr>
              <w:t>2117.70</w:t>
            </w:r>
          </w:p>
        </w:tc>
      </w:tr>
    </w:tbl>
    <w:p>
      <w:pPr>
        <w:spacing w:line="600" w:lineRule="exact"/>
        <w:ind w:firstLine="640" w:firstLineChars="200"/>
        <w:rPr>
          <w:rFonts w:ascii="Times New Roman" w:hAnsi="Times New Roman" w:eastAsia="黑体"/>
          <w:color w:val="000000"/>
        </w:rPr>
      </w:pPr>
      <w:r>
        <w:rPr>
          <w:rFonts w:ascii="Times New Roman" w:hAnsi="Times New Roman" w:eastAsia="黑体"/>
          <w:color w:val="000000"/>
        </w:rPr>
        <w:t>六、一般公共预算财政拨款基本支出决算情况</w:t>
      </w:r>
    </w:p>
    <w:p>
      <w:pPr>
        <w:spacing w:line="600" w:lineRule="exact"/>
        <w:ind w:firstLine="640" w:firstLineChars="200"/>
        <w:rPr>
          <w:rFonts w:ascii="仿宋_GB2312" w:hAnsi="宋体" w:cs="宋体"/>
        </w:rPr>
      </w:pPr>
      <w:r>
        <w:rPr>
          <w:rFonts w:hint="eastAsia" w:ascii="仿宋_GB2312" w:hAnsi="宋体" w:cs="宋体"/>
        </w:rPr>
        <w:t>遂宁市林业局2016年一般公共预算财政拨款基本支出761.98万元，其中：</w:t>
      </w:r>
    </w:p>
    <w:p>
      <w:pPr>
        <w:spacing w:line="600" w:lineRule="exact"/>
        <w:ind w:firstLine="640" w:firstLineChars="200"/>
        <w:rPr>
          <w:rFonts w:ascii="仿宋_GB2312" w:hAnsi="宋体" w:cs="宋体"/>
        </w:rPr>
      </w:pPr>
      <w:r>
        <w:rPr>
          <w:rFonts w:hint="eastAsia" w:ascii="仿宋_GB2312" w:hAnsi="宋体" w:cs="宋体"/>
        </w:rPr>
        <w:t>人员经费607.96万元，主要包括：基本工资141.34万元、津贴补贴223.19万元、奖金7.56万元、其他社会保障缴费56.18万元、伙食补助费1.77万元、机关事业单位基本养老保险缴费74.99万元、其他工资福利支出、离休费、退休费18.82万元、抚恤金3.41万元、医疗费6.36万元、住房公积金73.11万元、其他对个人和家庭的补助支出1.22万元。</w:t>
      </w:r>
      <w:r>
        <w:rPr>
          <w:rFonts w:hint="eastAsia" w:ascii="仿宋_GB2312" w:hAnsi="宋体" w:cs="宋体"/>
        </w:rPr>
        <w:br w:type="textWrapping"/>
      </w:r>
      <w:r>
        <w:rPr>
          <w:rFonts w:hint="eastAsia" w:ascii="仿宋_GB2312" w:hAnsi="宋体" w:cs="宋体"/>
        </w:rPr>
        <w:t>　　公用经费154.02万元，主要包括：办公费8.76万元、水费0.62万元、电费2.77万元、邮电费3.89万元、物业管理费1.32万元、差旅费15.05万元、维修（护）费8.14万元、会议费1.13万元、培训费0.16万元、公务接待费5.30万元、劳务费6.07万元、工会经费3.30万元、福利费3.17万元、公务用车运行维护费43.89万元、其他交通费10.50万元、其他商品和服务支出39.95万元。</w:t>
      </w:r>
    </w:p>
    <w:p>
      <w:pPr>
        <w:spacing w:line="600" w:lineRule="exact"/>
        <w:ind w:firstLine="640"/>
        <w:rPr>
          <w:rFonts w:ascii="Times New Roman" w:hAnsi="Times New Roman" w:eastAsia="黑体"/>
          <w:color w:val="000000"/>
        </w:rPr>
      </w:pPr>
      <w:r>
        <w:rPr>
          <w:rFonts w:ascii="Times New Roman" w:hAnsi="Times New Roman" w:eastAsia="黑体"/>
          <w:color w:val="000000"/>
        </w:rPr>
        <w:t>七、“三公”经费财政拨款支出决算情况</w:t>
      </w:r>
    </w:p>
    <w:p>
      <w:pPr>
        <w:spacing w:line="600" w:lineRule="exact"/>
        <w:ind w:firstLine="640"/>
        <w:rPr>
          <w:rFonts w:ascii="楷体_GB2312" w:eastAsia="楷体_GB2312"/>
          <w:color w:val="000000"/>
        </w:rPr>
      </w:pPr>
      <w:r>
        <w:rPr>
          <w:rFonts w:hint="eastAsia" w:ascii="楷体_GB2312" w:eastAsia="楷体_GB2312"/>
          <w:color w:val="000000"/>
        </w:rPr>
        <w:t>（一）“三公”经费财政拨款支出决算总体情况说明</w:t>
      </w:r>
    </w:p>
    <w:p>
      <w:pPr>
        <w:spacing w:line="600" w:lineRule="exact"/>
        <w:ind w:firstLine="640" w:firstLineChars="200"/>
        <w:rPr>
          <w:rFonts w:ascii="仿宋_GB2312" w:hAnsi="宋体" w:cs="宋体"/>
        </w:rPr>
      </w:pPr>
      <w:r>
        <w:rPr>
          <w:rFonts w:hint="eastAsia" w:ascii="仿宋_GB2312" w:hAnsi="宋体" w:cs="宋体"/>
        </w:rPr>
        <w:t>遂宁市林业局2016年度“三公”经费财政拨款支出决算为49.19万元，完成预算70.86%，其中：因公出国（境）费支出决算为0万元，无因公出国（境）情况；公务用车购置及运行维护费支出决算为43.89万元，完成预算81.28%；公务接待费支出决算为5.30万元，完成预算34.37%。2016年度“三公”经费支出决算数小于预算数的主要原因一是接待费支出严格执行中央八项规定，本着</w:t>
      </w:r>
      <w:r>
        <w:rPr>
          <w:rFonts w:hint="eastAsia" w:ascii="仿宋_GB2312" w:hAnsi="宋体" w:cs="宋体"/>
          <w:lang w:eastAsia="zh-CN"/>
        </w:rPr>
        <w:t>厉</w:t>
      </w:r>
      <w:bookmarkStart w:id="0" w:name="_GoBack"/>
      <w:bookmarkEnd w:id="0"/>
      <w:r>
        <w:rPr>
          <w:rFonts w:hint="eastAsia" w:ascii="仿宋_GB2312" w:hAnsi="宋体" w:cs="宋体"/>
        </w:rPr>
        <w:t>行节约的原则，按照工作需要从简接待，接待支出资金较少；二是车改之后，车辆数量减少，维修成本以及公车用油等支出减少。</w:t>
      </w:r>
    </w:p>
    <w:p>
      <w:pPr>
        <w:spacing w:line="600" w:lineRule="exact"/>
        <w:ind w:firstLine="640" w:firstLineChars="200"/>
        <w:rPr>
          <w:rFonts w:ascii="仿宋_GB2312" w:hAnsi="宋体" w:cs="宋体"/>
        </w:rPr>
      </w:pPr>
      <w:r>
        <w:rPr>
          <w:rFonts w:hint="eastAsia" w:ascii="仿宋_GB2312" w:hAnsi="宋体" w:cs="宋体"/>
        </w:rPr>
        <w:t>2016年度“三公”经费财政拨款支出决算数比2015年减少19.05万元，下降27.92%，其中：因公出国（境）费支出决算减少9.31万元，下降100%；公务用车购置及运行维护费支出决算减少10.09万元，下降18.69%；公务接待费支出决算增加0.35万元，增长7.07%。增减变动的主要原因一是2016年无因公出国（境）情况；二是2016年执行车改后，车辆数量减少，公务用车维修费及车辆用油等支出减少；三是因工作需要，2016年度接待人数较2015年有所增加。</w:t>
      </w:r>
    </w:p>
    <w:p>
      <w:pPr>
        <w:spacing w:line="600" w:lineRule="exact"/>
        <w:ind w:firstLine="640"/>
        <w:rPr>
          <w:rFonts w:ascii="楷体_GB2312" w:eastAsia="楷体_GB2312"/>
          <w:b/>
          <w:color w:val="333333"/>
        </w:rPr>
      </w:pPr>
      <w:r>
        <w:rPr>
          <w:rFonts w:hint="eastAsia" w:ascii="楷体_GB2312" w:eastAsia="楷体_GB2312"/>
          <w:b/>
          <w:color w:val="333333"/>
        </w:rPr>
        <w:t>（二）“三公”经费财政拨款支出决算具体情况说明</w:t>
      </w:r>
    </w:p>
    <w:p>
      <w:pPr>
        <w:spacing w:line="600" w:lineRule="exact"/>
        <w:ind w:firstLine="640" w:firstLineChars="200"/>
        <w:rPr>
          <w:rFonts w:ascii="仿宋_GB2312" w:hAnsi="宋体" w:cs="宋体"/>
        </w:rPr>
      </w:pPr>
      <w:r>
        <w:rPr>
          <w:rFonts w:hint="eastAsia" w:ascii="仿宋_GB2312" w:hAnsi="宋体" w:cs="宋体"/>
        </w:rPr>
        <w:t>2016年度“三公”经费财政拨款支出决算中，无因公出国（境）费支出；公务用车购置及运行维护费支出决算43.89万元，占89.23%；公务接待费支出决算5.30万元，占10.77%。具体情况如下：</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trPr>
        <w:tc>
          <w:tcPr>
            <w:tcW w:w="2840" w:type="dxa"/>
          </w:tcPr>
          <w:p>
            <w:pPr>
              <w:spacing w:line="600" w:lineRule="exact"/>
              <w:jc w:val="center"/>
              <w:rPr>
                <w:rFonts w:ascii="Times New Roman" w:hAnsi="Times New Roman"/>
                <w:color w:val="000000"/>
              </w:rPr>
            </w:pPr>
            <w:r>
              <w:rPr>
                <w:rFonts w:hint="eastAsia" w:ascii="宋体" w:hAnsi="宋体" w:cs="宋体"/>
                <w:color w:val="000000"/>
              </w:rPr>
              <w:t>项目</w:t>
            </w:r>
          </w:p>
        </w:tc>
        <w:tc>
          <w:tcPr>
            <w:tcW w:w="2841" w:type="dxa"/>
          </w:tcPr>
          <w:p>
            <w:pPr>
              <w:spacing w:line="600" w:lineRule="exact"/>
              <w:jc w:val="center"/>
              <w:rPr>
                <w:rFonts w:ascii="Times New Roman" w:hAnsi="Times New Roman"/>
                <w:color w:val="000000"/>
              </w:rPr>
            </w:pPr>
            <w:r>
              <w:rPr>
                <w:rFonts w:hint="eastAsia" w:ascii="宋体" w:hAnsi="宋体" w:cs="宋体"/>
                <w:color w:val="000000"/>
              </w:rPr>
              <w:t>百分比（</w:t>
            </w:r>
            <w:r>
              <w:rPr>
                <w:rFonts w:ascii="Times New Roman" w:hAnsi="Times New Roman"/>
                <w:color w:val="000000"/>
              </w:rPr>
              <w:t>%</w:t>
            </w:r>
            <w:r>
              <w:rPr>
                <w:rFonts w:hint="eastAsia" w:ascii="宋体" w:hAnsi="宋体" w:cs="宋体"/>
                <w:color w:val="000000"/>
              </w:rPr>
              <w:t>）</w:t>
            </w:r>
          </w:p>
        </w:tc>
        <w:tc>
          <w:tcPr>
            <w:tcW w:w="2841" w:type="dxa"/>
          </w:tcPr>
          <w:p>
            <w:pPr>
              <w:spacing w:line="600" w:lineRule="exact"/>
              <w:jc w:val="center"/>
              <w:rPr>
                <w:rFonts w:ascii="Times New Roman" w:hAnsi="Times New Roman"/>
                <w:color w:val="000000"/>
              </w:rPr>
            </w:pPr>
            <w:r>
              <w:rPr>
                <w:rFonts w:hint="eastAsia" w:ascii="宋体" w:hAnsi="宋体" w:cs="宋体"/>
                <w:color w:val="000000"/>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trPr>
        <w:tc>
          <w:tcPr>
            <w:tcW w:w="2840" w:type="dxa"/>
          </w:tcPr>
          <w:p>
            <w:pPr>
              <w:spacing w:line="600" w:lineRule="exact"/>
              <w:jc w:val="center"/>
              <w:rPr>
                <w:rFonts w:ascii="Times New Roman" w:hAnsi="Times New Roman"/>
                <w:color w:val="000000"/>
                <w:sz w:val="28"/>
                <w:szCs w:val="28"/>
              </w:rPr>
            </w:pPr>
            <w:r>
              <w:rPr>
                <w:rFonts w:hint="eastAsia" w:ascii="宋体" w:hAnsi="宋体" w:cs="宋体"/>
                <w:color w:val="000000"/>
                <w:sz w:val="28"/>
                <w:szCs w:val="28"/>
              </w:rPr>
              <w:t>公务用车购置及运行维护支出</w:t>
            </w:r>
          </w:p>
        </w:tc>
        <w:tc>
          <w:tcPr>
            <w:tcW w:w="2841" w:type="dxa"/>
          </w:tcPr>
          <w:p>
            <w:pPr>
              <w:spacing w:line="600" w:lineRule="exact"/>
              <w:jc w:val="center"/>
              <w:rPr>
                <w:rFonts w:ascii="Times New Roman" w:hAnsi="Times New Roman"/>
                <w:color w:val="000000"/>
                <w:sz w:val="28"/>
                <w:szCs w:val="28"/>
              </w:rPr>
            </w:pPr>
            <w:r>
              <w:rPr>
                <w:rFonts w:ascii="Times New Roman" w:hAnsi="Times New Roman"/>
                <w:color w:val="000000"/>
                <w:sz w:val="28"/>
                <w:szCs w:val="28"/>
              </w:rPr>
              <w:t>89.23</w:t>
            </w:r>
          </w:p>
        </w:tc>
        <w:tc>
          <w:tcPr>
            <w:tcW w:w="2841" w:type="dxa"/>
          </w:tcPr>
          <w:p>
            <w:pPr>
              <w:spacing w:line="600" w:lineRule="exact"/>
              <w:jc w:val="center"/>
              <w:rPr>
                <w:rFonts w:ascii="Times New Roman" w:hAnsi="Times New Roman"/>
                <w:color w:val="000000"/>
                <w:sz w:val="28"/>
                <w:szCs w:val="28"/>
              </w:rPr>
            </w:pPr>
            <w:r>
              <w:rPr>
                <w:rFonts w:ascii="Times New Roman" w:hAnsi="Times New Roman"/>
                <w:color w:val="000000"/>
                <w:sz w:val="28"/>
                <w:szCs w:val="28"/>
              </w:rPr>
              <w:t>43.89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600" w:lineRule="exact"/>
              <w:jc w:val="center"/>
              <w:rPr>
                <w:rFonts w:ascii="Times New Roman" w:hAnsi="Times New Roman"/>
                <w:color w:val="000000"/>
                <w:sz w:val="28"/>
                <w:szCs w:val="28"/>
              </w:rPr>
            </w:pPr>
            <w:r>
              <w:rPr>
                <w:rFonts w:hint="eastAsia" w:ascii="宋体" w:hAnsi="宋体" w:cs="宋体"/>
                <w:color w:val="000000"/>
                <w:sz w:val="28"/>
                <w:szCs w:val="28"/>
              </w:rPr>
              <w:t>公务接待费</w:t>
            </w:r>
          </w:p>
        </w:tc>
        <w:tc>
          <w:tcPr>
            <w:tcW w:w="2841" w:type="dxa"/>
          </w:tcPr>
          <w:p>
            <w:pPr>
              <w:spacing w:line="600" w:lineRule="exact"/>
              <w:jc w:val="center"/>
              <w:rPr>
                <w:rFonts w:ascii="Times New Roman" w:hAnsi="Times New Roman"/>
                <w:color w:val="000000"/>
                <w:sz w:val="28"/>
                <w:szCs w:val="28"/>
              </w:rPr>
            </w:pPr>
            <w:r>
              <w:rPr>
                <w:rFonts w:ascii="Times New Roman" w:hAnsi="Times New Roman"/>
                <w:color w:val="000000"/>
                <w:sz w:val="28"/>
                <w:szCs w:val="28"/>
              </w:rPr>
              <w:t>10.77</w:t>
            </w:r>
          </w:p>
        </w:tc>
        <w:tc>
          <w:tcPr>
            <w:tcW w:w="2841" w:type="dxa"/>
          </w:tcPr>
          <w:p>
            <w:pPr>
              <w:spacing w:line="600" w:lineRule="exact"/>
              <w:jc w:val="center"/>
              <w:rPr>
                <w:rFonts w:ascii="Times New Roman" w:hAnsi="Times New Roman"/>
                <w:color w:val="000000"/>
                <w:sz w:val="28"/>
                <w:szCs w:val="28"/>
              </w:rPr>
            </w:pPr>
            <w:r>
              <w:rPr>
                <w:rFonts w:ascii="Times New Roman" w:hAnsi="Times New Roman"/>
                <w:color w:val="000000"/>
                <w:sz w:val="28"/>
                <w:szCs w:val="28"/>
              </w:rPr>
              <w:t>5.30</w:t>
            </w:r>
          </w:p>
        </w:tc>
      </w:tr>
    </w:tbl>
    <w:p>
      <w:pPr>
        <w:spacing w:line="600" w:lineRule="exact"/>
        <w:ind w:firstLine="640"/>
        <w:rPr>
          <w:rFonts w:ascii="Times New Roman" w:hAnsi="Times New Roman"/>
          <w:color w:val="000000"/>
        </w:rPr>
      </w:pPr>
      <w:r>
        <w:rPr>
          <w:rFonts w:hint="eastAsia" w:ascii="Times New Roman" w:hAnsi="Times New Roman"/>
          <w:color w:val="000000"/>
        </w:rPr>
        <w:drawing>
          <wp:anchor distT="0" distB="0" distL="114300" distR="114300" simplePos="0" relativeHeight="251664384" behindDoc="0" locked="0" layoutInCell="1" allowOverlap="1">
            <wp:simplePos x="0" y="0"/>
            <wp:positionH relativeFrom="column">
              <wp:posOffset>374015</wp:posOffset>
            </wp:positionH>
            <wp:positionV relativeFrom="paragraph">
              <wp:posOffset>142240</wp:posOffset>
            </wp:positionV>
            <wp:extent cx="4151630" cy="2342515"/>
            <wp:effectExtent l="4445" t="4445" r="15875" b="1524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rPr>
          <w:rFonts w:ascii="Times New Roman" w:hAnsi="Times New Roman"/>
          <w:color w:val="000000"/>
        </w:rPr>
      </w:pPr>
    </w:p>
    <w:p>
      <w:pPr>
        <w:spacing w:line="600" w:lineRule="exact"/>
        <w:ind w:firstLine="640"/>
        <w:rPr>
          <w:rFonts w:ascii="Times New Roman" w:hAnsi="Times New Roman"/>
          <w:color w:val="000000"/>
        </w:rPr>
      </w:pPr>
    </w:p>
    <w:p>
      <w:pPr>
        <w:spacing w:line="600" w:lineRule="exact"/>
        <w:ind w:firstLine="640"/>
        <w:rPr>
          <w:rFonts w:ascii="Times New Roman" w:hAnsi="Times New Roman"/>
          <w:color w:val="000000"/>
        </w:rPr>
      </w:pPr>
    </w:p>
    <w:p>
      <w:pPr>
        <w:spacing w:line="600" w:lineRule="exact"/>
        <w:ind w:firstLine="642" w:firstLineChars="200"/>
        <w:rPr>
          <w:rFonts w:ascii="Times New Roman" w:hAnsi="Times New Roman"/>
          <w:b/>
          <w:color w:val="000000"/>
        </w:rPr>
      </w:pPr>
    </w:p>
    <w:p>
      <w:pPr>
        <w:spacing w:line="600" w:lineRule="exact"/>
        <w:ind w:firstLine="642" w:firstLineChars="200"/>
        <w:rPr>
          <w:rFonts w:ascii="Times New Roman" w:hAnsi="Times New Roman"/>
          <w:b/>
          <w:color w:val="000000"/>
        </w:rPr>
      </w:pPr>
    </w:p>
    <w:p>
      <w:pPr>
        <w:spacing w:line="600" w:lineRule="exact"/>
        <w:ind w:firstLine="642" w:firstLineChars="200"/>
        <w:rPr>
          <w:rFonts w:ascii="Times New Roman" w:hAnsi="Times New Roman"/>
          <w:b/>
          <w:color w:val="000000"/>
        </w:rPr>
      </w:pPr>
    </w:p>
    <w:p>
      <w:pPr>
        <w:spacing w:line="600" w:lineRule="exact"/>
        <w:ind w:firstLine="642" w:firstLineChars="200"/>
        <w:rPr>
          <w:rFonts w:ascii="Times New Roman" w:hAnsi="Times New Roman"/>
          <w:b/>
          <w:color w:val="000000"/>
        </w:rPr>
      </w:pPr>
      <w:r>
        <w:rPr>
          <w:rFonts w:ascii="Times New Roman" w:hAnsi="Times New Roman"/>
          <w:b/>
          <w:color w:val="000000"/>
        </w:rPr>
        <w:t>1.</w:t>
      </w:r>
      <w:r>
        <w:rPr>
          <w:rFonts w:hint="eastAsia" w:ascii="Times New Roman" w:hAnsi="Times New Roman"/>
          <w:b/>
          <w:color w:val="000000"/>
        </w:rPr>
        <w:t>因公出国（境）经费</w:t>
      </w:r>
    </w:p>
    <w:p>
      <w:pPr>
        <w:spacing w:line="600" w:lineRule="exact"/>
        <w:ind w:firstLine="640" w:firstLineChars="200"/>
        <w:rPr>
          <w:rFonts w:ascii="仿宋_GB2312" w:hAnsi="宋体" w:cs="宋体"/>
        </w:rPr>
      </w:pPr>
      <w:r>
        <w:rPr>
          <w:rFonts w:hint="eastAsia" w:ascii="仿宋_GB2312" w:hAnsi="宋体" w:cs="宋体"/>
        </w:rPr>
        <w:t>2016年无因公出国（境）经费支出。</w:t>
      </w:r>
    </w:p>
    <w:p>
      <w:pPr>
        <w:spacing w:line="600" w:lineRule="exact"/>
        <w:ind w:firstLine="642" w:firstLineChars="200"/>
        <w:rPr>
          <w:rFonts w:ascii="Times New Roman" w:hAnsi="Times New Roman"/>
          <w:b/>
          <w:color w:val="000000"/>
        </w:rPr>
      </w:pPr>
      <w:r>
        <w:rPr>
          <w:rFonts w:ascii="Times New Roman" w:hAnsi="Times New Roman"/>
          <w:b/>
          <w:color w:val="000000"/>
        </w:rPr>
        <w:t xml:space="preserve">2. </w:t>
      </w:r>
      <w:r>
        <w:rPr>
          <w:rFonts w:hint="eastAsia" w:ascii="宋体" w:hAnsi="宋体" w:cs="宋体"/>
          <w:b/>
          <w:color w:val="000000"/>
        </w:rPr>
        <w:t>公务用车购置及运行维护费</w:t>
      </w:r>
    </w:p>
    <w:p>
      <w:pPr>
        <w:spacing w:line="600" w:lineRule="exact"/>
        <w:ind w:firstLine="640" w:firstLineChars="200"/>
        <w:rPr>
          <w:rFonts w:ascii="仿宋_GB2312" w:hAnsi="宋体" w:cs="宋体"/>
        </w:rPr>
      </w:pPr>
      <w:r>
        <w:rPr>
          <w:rFonts w:hint="eastAsia" w:ascii="仿宋_GB2312" w:hAnsi="宋体" w:cs="宋体"/>
        </w:rPr>
        <w:t>2016年公务用车购置及运行维护费43.89万元,其中：</w:t>
      </w:r>
    </w:p>
    <w:p>
      <w:pPr>
        <w:spacing w:line="600" w:lineRule="exact"/>
        <w:ind w:firstLine="640" w:firstLineChars="200"/>
        <w:rPr>
          <w:rFonts w:ascii="仿宋_GB2312" w:hAnsi="宋体" w:cs="宋体"/>
        </w:rPr>
      </w:pPr>
      <w:r>
        <w:rPr>
          <w:rFonts w:hint="eastAsia" w:ascii="仿宋_GB2312" w:hAnsi="宋体" w:cs="宋体"/>
        </w:rPr>
        <w:t>公务用车购置支出为0元。截至2016年12月底，单位共有公务用车5辆，其中：轿车2辆、越野车3辆。</w:t>
      </w:r>
    </w:p>
    <w:p>
      <w:pPr>
        <w:spacing w:line="600" w:lineRule="exact"/>
        <w:ind w:firstLine="640" w:firstLineChars="200"/>
        <w:rPr>
          <w:rFonts w:ascii="仿宋_GB2312" w:hAnsi="宋体" w:cs="宋体"/>
        </w:rPr>
      </w:pPr>
      <w:r>
        <w:rPr>
          <w:rFonts w:hint="eastAsia" w:ascii="仿宋_GB2312" w:hAnsi="宋体" w:cs="宋体"/>
        </w:rPr>
        <w:t>公务用车运行维护费支出43.89万元。主要用于森林公安局执法办案、营造林、森林防火、林业行政执法、森林病虫害防治、林业案件查处、川林森工维稳等所需的公务用车燃料费、维修费、过路过桥费、保险费等支出。</w:t>
      </w:r>
    </w:p>
    <w:p>
      <w:pPr>
        <w:spacing w:line="600" w:lineRule="exact"/>
        <w:ind w:firstLine="642" w:firstLineChars="200"/>
        <w:rPr>
          <w:rFonts w:ascii="Times New Roman" w:hAnsi="Times New Roman" w:eastAsia="楷体_GB2312"/>
          <w:b/>
          <w:color w:val="000000"/>
        </w:rPr>
      </w:pPr>
      <w:r>
        <w:rPr>
          <w:rFonts w:ascii="Times New Roman" w:hAnsi="Times New Roman"/>
          <w:b/>
          <w:color w:val="000000"/>
        </w:rPr>
        <w:t xml:space="preserve">3. </w:t>
      </w:r>
      <w:r>
        <w:rPr>
          <w:rFonts w:hint="eastAsia" w:ascii="宋体" w:hAnsi="宋体" w:cs="宋体"/>
          <w:b/>
          <w:color w:val="000000"/>
        </w:rPr>
        <w:t>公务接待费</w:t>
      </w:r>
    </w:p>
    <w:p>
      <w:pPr>
        <w:spacing w:line="600" w:lineRule="exact"/>
        <w:ind w:firstLine="640" w:firstLineChars="200"/>
        <w:rPr>
          <w:rFonts w:ascii="仿宋_GB2312" w:hAnsi="宋体" w:cs="宋体"/>
        </w:rPr>
      </w:pPr>
      <w:r>
        <w:rPr>
          <w:rFonts w:hint="eastAsia" w:ascii="仿宋_GB2312" w:hAnsi="宋体" w:cs="宋体"/>
        </w:rPr>
        <w:t>2016年公务接待费5.30万元。主要用于执行公务、开展业务活动开支的用餐费和其他费用。国内公务接待52批次，441人次，共计支出5.30万元，具体内容包括：</w:t>
      </w:r>
    </w:p>
    <w:p>
      <w:pPr>
        <w:spacing w:line="600" w:lineRule="exact"/>
        <w:rPr>
          <w:rFonts w:ascii="仿宋_GB2312" w:hAnsi="宋体" w:cs="宋体"/>
        </w:rPr>
      </w:pPr>
      <w:r>
        <w:rPr>
          <w:rFonts w:hint="eastAsia" w:ascii="仿宋_GB2312" w:hAnsi="宋体" w:cs="宋体"/>
        </w:rPr>
        <w:t>机关党建、林业信息化、林业文化建设调研接待费0.51万元；林产业、有害生物普查考察接待费0.65万元；湿地公园建设考察接待费0.28万元；松材线虫病防控及普查工作检查接待费0.12万元；市林业局机关和市森林公安局接待各类工作调研、执法交流、学习考察等公务活动，支出3.74万元。</w:t>
      </w:r>
    </w:p>
    <w:p>
      <w:pPr>
        <w:spacing w:line="600" w:lineRule="exact"/>
        <w:ind w:firstLine="640" w:firstLineChars="200"/>
        <w:rPr>
          <w:rFonts w:ascii="Times New Roman" w:hAnsi="Times New Roman" w:eastAsia="黑体"/>
          <w:color w:val="000000"/>
        </w:rPr>
      </w:pPr>
      <w:r>
        <w:rPr>
          <w:rFonts w:hint="eastAsia" w:ascii="Times New Roman" w:hAnsi="Times New Roman" w:eastAsia="黑体"/>
          <w:color w:val="000000"/>
        </w:rPr>
        <w:t>八</w:t>
      </w:r>
      <w:r>
        <w:rPr>
          <w:rFonts w:ascii="Times New Roman" w:hAnsi="Times New Roman" w:eastAsia="黑体"/>
          <w:color w:val="000000"/>
        </w:rPr>
        <w:t>、其他重要事项的情况说明</w:t>
      </w:r>
    </w:p>
    <w:p>
      <w:pPr>
        <w:spacing w:line="600" w:lineRule="exact"/>
        <w:ind w:firstLine="642" w:firstLineChars="200"/>
        <w:rPr>
          <w:rFonts w:ascii="楷体_GB2312" w:eastAsia="楷体_GB2312"/>
          <w:color w:val="000000"/>
        </w:rPr>
      </w:pPr>
      <w:r>
        <w:rPr>
          <w:rFonts w:hint="eastAsia" w:ascii="楷体_GB2312" w:eastAsia="楷体_GB2312"/>
          <w:b/>
          <w:color w:val="000000"/>
        </w:rPr>
        <w:t>（一）机关运行经费支出情况</w:t>
      </w:r>
    </w:p>
    <w:p>
      <w:pPr>
        <w:spacing w:line="600" w:lineRule="exact"/>
        <w:ind w:firstLine="640" w:firstLineChars="200"/>
        <w:rPr>
          <w:rFonts w:ascii="仿宋_GB2312" w:hAnsi="宋体" w:cs="宋体"/>
        </w:rPr>
      </w:pPr>
      <w:r>
        <w:rPr>
          <w:rFonts w:hint="eastAsia" w:ascii="仿宋_GB2312" w:hAnsi="宋体" w:cs="宋体"/>
        </w:rPr>
        <w:t>2016年度，遂宁市林业局机关运行经费支出154.02万元，比2015年增加26.48万元，增长20.76%。</w:t>
      </w:r>
    </w:p>
    <w:p>
      <w:pPr>
        <w:autoSpaceDE w:val="0"/>
        <w:autoSpaceDN w:val="0"/>
        <w:adjustRightInd w:val="0"/>
        <w:spacing w:line="600" w:lineRule="exact"/>
        <w:ind w:firstLine="642" w:firstLineChars="200"/>
        <w:jc w:val="left"/>
        <w:rPr>
          <w:rFonts w:ascii="楷体_GB2312" w:eastAsia="楷体_GB2312"/>
          <w:b/>
          <w:color w:val="000000"/>
        </w:rPr>
      </w:pPr>
      <w:r>
        <w:rPr>
          <w:rFonts w:hint="eastAsia" w:ascii="楷体_GB2312" w:eastAsia="楷体_GB2312"/>
          <w:b/>
          <w:color w:val="000000"/>
        </w:rPr>
        <w:t>（二）政府采购支出情况</w:t>
      </w:r>
    </w:p>
    <w:p>
      <w:pPr>
        <w:spacing w:line="600" w:lineRule="exact"/>
        <w:ind w:firstLine="640" w:firstLineChars="200"/>
        <w:rPr>
          <w:rFonts w:ascii="仿宋_GB2312" w:hAnsi="宋体" w:cs="宋体"/>
        </w:rPr>
      </w:pPr>
      <w:r>
        <w:rPr>
          <w:rFonts w:hint="eastAsia" w:ascii="仿宋_GB2312" w:hAnsi="宋体" w:cs="宋体"/>
        </w:rPr>
        <w:t>2016年度，遂宁市林业局政府采购支出总额28.18万元，其中：政府采购货物支出28.18万元。主要用于日常办公、执法办案。</w:t>
      </w:r>
    </w:p>
    <w:p>
      <w:pPr>
        <w:autoSpaceDE w:val="0"/>
        <w:autoSpaceDN w:val="0"/>
        <w:adjustRightInd w:val="0"/>
        <w:spacing w:line="600" w:lineRule="exact"/>
        <w:ind w:firstLine="642" w:firstLineChars="200"/>
        <w:jc w:val="left"/>
        <w:rPr>
          <w:rFonts w:ascii="楷体_GB2312" w:eastAsia="楷体_GB2312"/>
          <w:b/>
          <w:color w:val="000000"/>
        </w:rPr>
      </w:pPr>
      <w:r>
        <w:rPr>
          <w:rFonts w:hint="eastAsia" w:ascii="楷体_GB2312" w:eastAsia="楷体_GB2312"/>
          <w:b/>
          <w:color w:val="000000"/>
        </w:rPr>
        <w:t>（三）国有资产占有使用情况</w:t>
      </w:r>
    </w:p>
    <w:p>
      <w:pPr>
        <w:spacing w:line="600" w:lineRule="exact"/>
        <w:ind w:firstLine="640" w:firstLineChars="200"/>
        <w:rPr>
          <w:rFonts w:ascii="仿宋_GB2312" w:hAnsi="宋体" w:cs="宋体"/>
        </w:rPr>
      </w:pPr>
      <w:r>
        <w:rPr>
          <w:rFonts w:hint="eastAsia" w:ascii="仿宋_GB2312" w:hAnsi="宋体" w:cs="宋体"/>
        </w:rPr>
        <w:t>截至2016年12月31日，遂宁市林业局共有车辆5辆，其中：一般执法执勤用车1辆、一般公务用车4辆；无单价50万元以上通用设备，无单价100万元以上专用设备。</w:t>
      </w:r>
    </w:p>
    <w:p>
      <w:pPr>
        <w:autoSpaceDE w:val="0"/>
        <w:autoSpaceDN w:val="0"/>
        <w:adjustRightInd w:val="0"/>
        <w:spacing w:line="600" w:lineRule="exact"/>
        <w:ind w:firstLine="642" w:firstLineChars="200"/>
        <w:jc w:val="left"/>
        <w:rPr>
          <w:rFonts w:ascii="楷体_GB2312" w:eastAsia="楷体_GB2312"/>
          <w:b/>
          <w:color w:val="000000"/>
        </w:rPr>
      </w:pPr>
      <w:r>
        <w:rPr>
          <w:rFonts w:hint="eastAsia" w:ascii="楷体_GB2312" w:eastAsia="楷体_GB2312"/>
          <w:b/>
          <w:color w:val="000000"/>
        </w:rPr>
        <w:t>（四）预算绩效情况</w:t>
      </w:r>
    </w:p>
    <w:p>
      <w:pPr>
        <w:spacing w:line="600" w:lineRule="exact"/>
        <w:ind w:firstLine="640" w:firstLineChars="200"/>
        <w:rPr>
          <w:rFonts w:ascii="仿宋_GB2312" w:hAnsi="宋体" w:cs="宋体"/>
        </w:rPr>
      </w:pPr>
      <w:r>
        <w:rPr>
          <w:rFonts w:hint="eastAsia" w:ascii="仿宋_GB2312" w:hAnsi="宋体" w:cs="宋体"/>
        </w:rPr>
        <w:t>按照预算绩效管理要求，本部门对2016年一般公共预算项目支出开展了绩效目标管理，共编制绩效目标0个，涉及财政资金0万元，覆盖率达到0%。</w:t>
      </w:r>
    </w:p>
    <w:p>
      <w:pPr>
        <w:spacing w:line="600" w:lineRule="atLeast"/>
        <w:ind w:firstLine="640" w:firstLineChars="200"/>
        <w:rPr>
          <w:rFonts w:ascii="Times New Roman" w:hAnsi="Times New Roman"/>
        </w:rPr>
      </w:pPr>
      <w:r>
        <w:rPr>
          <w:rFonts w:ascii="Times New Roman" w:hAnsi="Times New Roman"/>
        </w:rPr>
        <w:t>附：表1：收入支出决算总表</w:t>
      </w:r>
    </w:p>
    <w:p>
      <w:pPr>
        <w:spacing w:line="600" w:lineRule="atLeast"/>
        <w:ind w:firstLine="1273" w:firstLineChars="398"/>
        <w:rPr>
          <w:rFonts w:ascii="Times New Roman" w:hAnsi="Times New Roman"/>
        </w:rPr>
      </w:pPr>
      <w:r>
        <w:rPr>
          <w:rFonts w:ascii="Times New Roman" w:hAnsi="Times New Roman"/>
        </w:rPr>
        <w:t>表1-1：收入总表</w:t>
      </w:r>
    </w:p>
    <w:p>
      <w:pPr>
        <w:spacing w:line="600" w:lineRule="atLeast"/>
        <w:ind w:firstLine="1276" w:firstLineChars="399"/>
        <w:rPr>
          <w:rFonts w:ascii="Times New Roman" w:hAnsi="Times New Roman"/>
        </w:rPr>
      </w:pPr>
      <w:r>
        <w:rPr>
          <w:rFonts w:ascii="Times New Roman" w:hAnsi="Times New Roman"/>
        </w:rPr>
        <w:t>表1-2：支出总表</w:t>
      </w:r>
    </w:p>
    <w:p>
      <w:pPr>
        <w:spacing w:line="600" w:lineRule="atLeast"/>
        <w:ind w:firstLine="1276" w:firstLineChars="399"/>
        <w:rPr>
          <w:rFonts w:ascii="Times New Roman" w:hAnsi="Times New Roman"/>
        </w:rPr>
      </w:pPr>
      <w:r>
        <w:rPr>
          <w:rFonts w:ascii="Times New Roman" w:hAnsi="Times New Roman"/>
        </w:rPr>
        <w:t>表2：财政拨款收入支出决算表</w:t>
      </w:r>
    </w:p>
    <w:p>
      <w:pPr>
        <w:spacing w:line="600" w:lineRule="atLeast"/>
        <w:ind w:firstLine="1276" w:firstLineChars="399"/>
        <w:rPr>
          <w:rFonts w:ascii="Times New Roman" w:hAnsi="Times New Roman"/>
        </w:rPr>
      </w:pPr>
      <w:r>
        <w:rPr>
          <w:rFonts w:ascii="Times New Roman" w:hAnsi="Times New Roman"/>
        </w:rPr>
        <w:t>表3：一般公共预算财政拨款支出决算表</w:t>
      </w:r>
    </w:p>
    <w:p>
      <w:pPr>
        <w:spacing w:line="600" w:lineRule="atLeast"/>
        <w:ind w:firstLine="1276" w:firstLineChars="399"/>
        <w:rPr>
          <w:rFonts w:ascii="Times New Roman" w:hAnsi="Times New Roman"/>
        </w:rPr>
      </w:pPr>
      <w:r>
        <w:rPr>
          <w:rFonts w:ascii="Times New Roman" w:hAnsi="Times New Roman"/>
        </w:rPr>
        <w:t>表3-1：一般公共预算财政拨款支出决算明细表</w:t>
      </w:r>
    </w:p>
    <w:p>
      <w:pPr>
        <w:spacing w:line="600" w:lineRule="atLeast"/>
        <w:ind w:firstLine="1276" w:firstLineChars="399"/>
        <w:rPr>
          <w:rFonts w:ascii="Times New Roman" w:hAnsi="Times New Roman"/>
        </w:rPr>
      </w:pPr>
      <w:r>
        <w:rPr>
          <w:rFonts w:ascii="Times New Roman" w:hAnsi="Times New Roman"/>
        </w:rPr>
        <w:t>表3-2：一般公共预算财政拨款基本支出决算表</w:t>
      </w:r>
    </w:p>
    <w:p>
      <w:pPr>
        <w:spacing w:line="600" w:lineRule="atLeast"/>
        <w:ind w:firstLine="1276" w:firstLineChars="399"/>
        <w:rPr>
          <w:rFonts w:ascii="Times New Roman" w:hAnsi="Times New Roman"/>
        </w:rPr>
      </w:pPr>
      <w:r>
        <w:rPr>
          <w:rFonts w:ascii="Times New Roman" w:hAnsi="Times New Roman"/>
        </w:rPr>
        <w:t>表3-3：一般公共预算财政拨款项目支出决算表</w:t>
      </w:r>
    </w:p>
    <w:p>
      <w:pPr>
        <w:spacing w:line="600" w:lineRule="atLeast"/>
        <w:ind w:firstLine="1276" w:firstLineChars="399"/>
        <w:rPr>
          <w:rFonts w:ascii="Times New Roman" w:hAnsi="Times New Roman"/>
        </w:rPr>
      </w:pPr>
      <w:r>
        <w:rPr>
          <w:rFonts w:ascii="Times New Roman" w:hAnsi="Times New Roman"/>
        </w:rPr>
        <w:t>表3-4：一般公共预算财政拨款“三公”经费支出决算表</w:t>
      </w:r>
    </w:p>
    <w:p>
      <w:pPr>
        <w:spacing w:line="600" w:lineRule="atLeast"/>
        <w:ind w:firstLine="1276" w:firstLineChars="399"/>
        <w:rPr>
          <w:rFonts w:ascii="Times New Roman" w:hAnsi="Times New Roman"/>
        </w:rPr>
      </w:pPr>
      <w:r>
        <w:rPr>
          <w:rFonts w:ascii="Times New Roman" w:hAnsi="Times New Roman"/>
        </w:rPr>
        <w:t>表4：政府性基金预算财政拨款收入支出决算表</w:t>
      </w:r>
    </w:p>
    <w:p>
      <w:pPr>
        <w:spacing w:line="600" w:lineRule="atLeast"/>
        <w:ind w:firstLine="1276" w:firstLineChars="399"/>
        <w:rPr>
          <w:rFonts w:ascii="Times New Roman" w:hAnsi="Times New Roman"/>
        </w:rPr>
      </w:pPr>
      <w:r>
        <w:rPr>
          <w:rFonts w:ascii="Times New Roman" w:hAnsi="Times New Roman"/>
        </w:rPr>
        <w:t>表4-1：政府性基金预算财政拨款“三公”经费支出决算表</w:t>
      </w:r>
    </w:p>
    <w:p>
      <w:pPr>
        <w:spacing w:line="600" w:lineRule="atLeast"/>
        <w:ind w:firstLine="1259"/>
        <w:rPr>
          <w:rFonts w:ascii="Times New Roman" w:hAnsi="Times New Roman"/>
        </w:rPr>
      </w:pPr>
      <w:r>
        <w:rPr>
          <w:rFonts w:ascii="Times New Roman" w:hAnsi="Times New Roman"/>
        </w:rPr>
        <w:t>表5：国有资本经营预算支出决算表</w:t>
      </w:r>
    </w:p>
    <w:p>
      <w:pPr>
        <w:spacing w:line="600" w:lineRule="atLeast"/>
        <w:ind w:firstLine="1276" w:firstLineChars="399"/>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Arial">
    <w:altName w:val="DejaVu Sans"/>
    <w:panose1 w:val="020B0604020202020204"/>
    <w:charset w:val="00"/>
    <w:family w:val="swiss"/>
    <w:pitch w:val="default"/>
    <w:sig w:usb0="00000000" w:usb1="00000000" w:usb2="00000008" w:usb3="00000000" w:csb0="000001FF" w:csb1="00000000"/>
  </w:font>
  <w:font w:name="仿宋">
    <w:altName w:val="方正仿宋_GBK"/>
    <w:panose1 w:val="00000000000000000000"/>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3CD0935"/>
    <w:rsid w:val="001B09E6"/>
    <w:rsid w:val="00333DA7"/>
    <w:rsid w:val="0038320C"/>
    <w:rsid w:val="003C651E"/>
    <w:rsid w:val="003D2F16"/>
    <w:rsid w:val="006776AA"/>
    <w:rsid w:val="007E4737"/>
    <w:rsid w:val="007F2949"/>
    <w:rsid w:val="00854561"/>
    <w:rsid w:val="008A5A56"/>
    <w:rsid w:val="00B82DCA"/>
    <w:rsid w:val="00C15E00"/>
    <w:rsid w:val="00CF3D05"/>
    <w:rsid w:val="00D671DD"/>
    <w:rsid w:val="00DE70F0"/>
    <w:rsid w:val="00F159A9"/>
    <w:rsid w:val="00F60CFA"/>
    <w:rsid w:val="015A5C48"/>
    <w:rsid w:val="01CA6CA2"/>
    <w:rsid w:val="024715B6"/>
    <w:rsid w:val="0329007E"/>
    <w:rsid w:val="03C40E51"/>
    <w:rsid w:val="03F646B1"/>
    <w:rsid w:val="043B23B6"/>
    <w:rsid w:val="04483934"/>
    <w:rsid w:val="05047301"/>
    <w:rsid w:val="07581EDC"/>
    <w:rsid w:val="08C41CA0"/>
    <w:rsid w:val="0BAE2B55"/>
    <w:rsid w:val="0BC12F3B"/>
    <w:rsid w:val="0C4041BF"/>
    <w:rsid w:val="0C8A7DE7"/>
    <w:rsid w:val="0C910FB3"/>
    <w:rsid w:val="0F105A81"/>
    <w:rsid w:val="10765309"/>
    <w:rsid w:val="12F06318"/>
    <w:rsid w:val="177E4945"/>
    <w:rsid w:val="18A96CF0"/>
    <w:rsid w:val="1C2C40F5"/>
    <w:rsid w:val="1C8E52A6"/>
    <w:rsid w:val="1CF908DD"/>
    <w:rsid w:val="20587F7D"/>
    <w:rsid w:val="20C1616C"/>
    <w:rsid w:val="219E7254"/>
    <w:rsid w:val="21E142D9"/>
    <w:rsid w:val="23AC0966"/>
    <w:rsid w:val="24924594"/>
    <w:rsid w:val="24A97CCB"/>
    <w:rsid w:val="26F55F1D"/>
    <w:rsid w:val="2A372265"/>
    <w:rsid w:val="2A8E1558"/>
    <w:rsid w:val="2ACC6AC6"/>
    <w:rsid w:val="2C036339"/>
    <w:rsid w:val="2CDC07F0"/>
    <w:rsid w:val="2CE14EA8"/>
    <w:rsid w:val="2F1544E5"/>
    <w:rsid w:val="2FB10024"/>
    <w:rsid w:val="309C4823"/>
    <w:rsid w:val="3121321F"/>
    <w:rsid w:val="31F23AC8"/>
    <w:rsid w:val="347272F9"/>
    <w:rsid w:val="35190F7F"/>
    <w:rsid w:val="356C39B7"/>
    <w:rsid w:val="37A17C3F"/>
    <w:rsid w:val="3951107A"/>
    <w:rsid w:val="39F87C40"/>
    <w:rsid w:val="3B030114"/>
    <w:rsid w:val="3B6079EB"/>
    <w:rsid w:val="3C893CF4"/>
    <w:rsid w:val="3CBB7A19"/>
    <w:rsid w:val="3D2A470F"/>
    <w:rsid w:val="3DBE4DEC"/>
    <w:rsid w:val="3FEF024D"/>
    <w:rsid w:val="3FFF7F40"/>
    <w:rsid w:val="40315ED7"/>
    <w:rsid w:val="41395721"/>
    <w:rsid w:val="41952E0E"/>
    <w:rsid w:val="41A95F2F"/>
    <w:rsid w:val="44BF4995"/>
    <w:rsid w:val="484E0A3B"/>
    <w:rsid w:val="491A7FD1"/>
    <w:rsid w:val="4AA442FB"/>
    <w:rsid w:val="4BA1139C"/>
    <w:rsid w:val="4C7A3D06"/>
    <w:rsid w:val="4E8D5157"/>
    <w:rsid w:val="4FF82E77"/>
    <w:rsid w:val="533E1B28"/>
    <w:rsid w:val="558C5BC5"/>
    <w:rsid w:val="55E129E3"/>
    <w:rsid w:val="56254026"/>
    <w:rsid w:val="580815DC"/>
    <w:rsid w:val="5B600B2C"/>
    <w:rsid w:val="5C3012B6"/>
    <w:rsid w:val="5CA1436A"/>
    <w:rsid w:val="5CAE3AC4"/>
    <w:rsid w:val="5DA671B5"/>
    <w:rsid w:val="5ED027CC"/>
    <w:rsid w:val="5F716BE1"/>
    <w:rsid w:val="5F9B15BD"/>
    <w:rsid w:val="61D37B51"/>
    <w:rsid w:val="62B33DEF"/>
    <w:rsid w:val="634D3D8B"/>
    <w:rsid w:val="63CD0935"/>
    <w:rsid w:val="64BC7A6B"/>
    <w:rsid w:val="64FC73A2"/>
    <w:rsid w:val="653F7E93"/>
    <w:rsid w:val="65D171CA"/>
    <w:rsid w:val="672C0A2C"/>
    <w:rsid w:val="67460EC4"/>
    <w:rsid w:val="67600297"/>
    <w:rsid w:val="6BC0033B"/>
    <w:rsid w:val="6C6353B9"/>
    <w:rsid w:val="6D644369"/>
    <w:rsid w:val="6D905F29"/>
    <w:rsid w:val="6DF16335"/>
    <w:rsid w:val="6EA959F6"/>
    <w:rsid w:val="6F2532AC"/>
    <w:rsid w:val="703D32CB"/>
    <w:rsid w:val="7066044B"/>
    <w:rsid w:val="70CF58C4"/>
    <w:rsid w:val="73A5133C"/>
    <w:rsid w:val="745F5EC1"/>
    <w:rsid w:val="74997035"/>
    <w:rsid w:val="77B066A0"/>
    <w:rsid w:val="77E220B6"/>
    <w:rsid w:val="79C40171"/>
    <w:rsid w:val="7A086695"/>
    <w:rsid w:val="7A9C4660"/>
    <w:rsid w:val="7CC127CB"/>
    <w:rsid w:val="7D4773C0"/>
    <w:rsid w:val="7DA64B57"/>
    <w:rsid w:val="7E2B6C83"/>
    <w:rsid w:val="7F8617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heme="minorBidi"/>
      <w:kern w:val="2"/>
      <w:sz w:val="32"/>
      <w:szCs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unhideWhenUsed/>
    <w:qFormat/>
    <w:uiPriority w:val="0"/>
    <w:rPr>
      <w:rFonts w:ascii="Arial" w:hAnsi="Arial" w:eastAsia="黑体"/>
      <w:sz w:val="20"/>
    </w:rPr>
  </w:style>
  <w:style w:type="paragraph" w:styleId="3">
    <w:name w:val="Body Text"/>
    <w:basedOn w:val="1"/>
    <w:qFormat/>
    <w:uiPriority w:val="0"/>
    <w:pPr>
      <w:spacing w:beforeLines="30"/>
    </w:pPr>
    <w:rPr>
      <w:rFonts w:ascii="仿宋_GB2312"/>
      <w:sz w:val="30"/>
      <w:szCs w:val="24"/>
    </w:rPr>
  </w:style>
  <w:style w:type="paragraph" w:styleId="4">
    <w:name w:val="Balloon Text"/>
    <w:basedOn w:val="1"/>
    <w:link w:val="15"/>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bCs/>
    </w:rPr>
  </w:style>
  <w:style w:type="paragraph" w:customStyle="1" w:styleId="11">
    <w:name w:val="Default"/>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paragraph" w:customStyle="1" w:styleId="12">
    <w:name w:val="p0"/>
    <w:basedOn w:val="1"/>
    <w:qFormat/>
    <w:uiPriority w:val="0"/>
    <w:pPr>
      <w:widowControl/>
    </w:pPr>
    <w:rPr>
      <w:kern w:val="0"/>
      <w:szCs w:val="21"/>
    </w:rPr>
  </w:style>
  <w:style w:type="character" w:customStyle="1" w:styleId="13">
    <w:name w:val="页眉 Char"/>
    <w:basedOn w:val="9"/>
    <w:link w:val="6"/>
    <w:qFormat/>
    <w:uiPriority w:val="0"/>
    <w:rPr>
      <w:rFonts w:ascii="Calibri" w:hAnsi="Calibri" w:eastAsia="仿宋_GB2312"/>
      <w:kern w:val="2"/>
      <w:sz w:val="18"/>
      <w:szCs w:val="18"/>
    </w:rPr>
  </w:style>
  <w:style w:type="character" w:customStyle="1" w:styleId="14">
    <w:name w:val="页脚 Char"/>
    <w:basedOn w:val="9"/>
    <w:link w:val="5"/>
    <w:qFormat/>
    <w:uiPriority w:val="0"/>
    <w:rPr>
      <w:rFonts w:ascii="Calibri" w:hAnsi="Calibri" w:eastAsia="仿宋_GB2312"/>
      <w:kern w:val="2"/>
      <w:sz w:val="18"/>
      <w:szCs w:val="18"/>
    </w:rPr>
  </w:style>
  <w:style w:type="character" w:customStyle="1" w:styleId="15">
    <w:name w:val="批注框文本 Char"/>
    <w:basedOn w:val="9"/>
    <w:link w:val="4"/>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chart" Target="charts/chart10.xml"/><Relationship Id="rId12" Type="http://schemas.openxmlformats.org/officeDocument/2006/relationships/chart" Target="charts/chart9.xml"/><Relationship Id="rId11" Type="http://schemas.openxmlformats.org/officeDocument/2006/relationships/chart" Target="charts/chart8.xml"/><Relationship Id="rId10" Type="http://schemas.openxmlformats.org/officeDocument/2006/relationships/chart" Target="charts/chart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cap="none" spc="20" baseline="0">
                <a:solidFill>
                  <a:schemeClr val="tx1">
                    <a:lumMod val="50000"/>
                    <a:lumOff val="50000"/>
                  </a:schemeClr>
                </a:solidFill>
                <a:latin typeface="+mn-lt"/>
                <a:ea typeface="+mn-ea"/>
                <a:cs typeface="+mn-cs"/>
              </a:defRPr>
            </a:pPr>
            <a:r>
              <a:t>遂宁市林业局</a:t>
            </a:r>
          </a:p>
        </c:rich>
      </c:tx>
      <c:layout>
        <c:manualLayout>
          <c:xMode val="edge"/>
          <c:yMode val="edge"/>
          <c:x val="0.272685524401193"/>
          <c:y val="0.00567337187702396"/>
        </c:manualLayout>
      </c:layout>
      <c:overlay val="false"/>
      <c:spPr>
        <a:noFill/>
        <a:ln>
          <a:noFill/>
        </a:ln>
        <a:effectLst/>
      </c:spPr>
    </c:title>
    <c:autoTitleDeleted val="false"/>
    <c:plotArea>
      <c:layout>
        <c:manualLayout>
          <c:layoutTarget val="inner"/>
          <c:xMode val="edge"/>
          <c:yMode val="edge"/>
          <c:x val="0.0748437408626674"/>
          <c:y val="0.290448930400723"/>
          <c:w val="0.510048055919616"/>
          <c:h val="0.703525158180175"/>
        </c:manualLayout>
      </c:layout>
      <c:pieChart>
        <c:varyColors val="true"/>
        <c:ser>
          <c:idx val="0"/>
          <c:order val="0"/>
          <c:tx>
            <c:strRef>
              <c:f>Sheet1!$B$1</c:f>
              <c:strCache>
                <c:ptCount val="1"/>
                <c:pt idx="0">
                  <c:v>2016</c:v>
                </c:pt>
              </c:strCache>
            </c:strRef>
          </c:tx>
          <c:explosion val="0"/>
          <c:dPt>
            <c:idx val="0"/>
            <c:bubble3D val="false"/>
            <c:spPr>
              <a:gradFill rotWithShape="true">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false"/>
              </a:gradFill>
              <a:ln w="9525" cap="flat" cmpd="sng" algn="ctr">
                <a:solidFill>
                  <a:schemeClr val="accent1">
                    <a:shade val="95000"/>
                  </a:schemeClr>
                </a:solidFill>
                <a:round/>
              </a:ln>
              <a:effectLst/>
            </c:spPr>
          </c:dPt>
          <c:dPt>
            <c:idx val="1"/>
            <c:bubble3D val="false"/>
            <c:spPr>
              <a:gradFill rotWithShape="true">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false"/>
              </a:gradFill>
              <a:ln w="9525" cap="flat" cmpd="sng" algn="ctr">
                <a:solidFill>
                  <a:schemeClr val="accent2">
                    <a:shade val="95000"/>
                  </a:schemeClr>
                </a:solidFill>
                <a:round/>
              </a:ln>
              <a:effectLst/>
            </c:spPr>
          </c:dPt>
          <c:dLbls>
            <c:dLbl>
              <c:idx val="0"/>
              <c:layout>
                <c:manualLayout>
                  <c:x val="-0.0213105862046078"/>
                  <c:y val="-0.329115180045869"/>
                </c:manualLayout>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65000"/>
                            <a:lumOff val="35000"/>
                          </a:schemeClr>
                        </a:solidFill>
                        <a:latin typeface="+mn-lt"/>
                        <a:ea typeface="+mn-ea"/>
                        <a:cs typeface="+mn-cs"/>
                      </a:defRPr>
                    </a:pPr>
                    <a:r>
                      <a:t>财政拨款收入, 769.12万元</a:t>
                    </a:r>
                  </a:p>
                </c:rich>
              </c:tx>
              <c:dLblPos val="bestFit"/>
              <c:showLegendKey val="false"/>
              <c:showVal val="true"/>
              <c:showCatName val="true"/>
              <c:showSerName val="false"/>
              <c:showPercent val="false"/>
              <c:showBubbleSize val="false"/>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65000"/>
                            <a:lumOff val="35000"/>
                          </a:schemeClr>
                        </a:solidFill>
                        <a:latin typeface="+mn-lt"/>
                        <a:ea typeface="+mn-ea"/>
                        <a:cs typeface="+mn-cs"/>
                      </a:defRPr>
                    </a:pPr>
                    <a:r>
                      <a:t>其他收入, 8.86万元</a:t>
                    </a:r>
                  </a:p>
                </c:rich>
              </c:tx>
              <c:dLblPos val="inEnd"/>
              <c:showLegendKey val="false"/>
              <c:showVal val="true"/>
              <c:showCatName val="tru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65000"/>
                        <a:lumOff val="35000"/>
                      </a:schemeClr>
                    </a:solidFill>
                    <a:latin typeface="+mn-lt"/>
                    <a:ea typeface="+mn-ea"/>
                    <a:cs typeface="+mn-cs"/>
                  </a:defRPr>
                </a:pPr>
              </a:p>
            </c:txPr>
            <c:dLblPos val="inEnd"/>
            <c:showLegendKey val="false"/>
            <c:showVal val="true"/>
            <c:showCatName val="tru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财政拨款收入</c:v>
                </c:pt>
                <c:pt idx="1">
                  <c:v>其他收入</c:v>
                </c:pt>
              </c:strCache>
            </c:strRef>
          </c:cat>
          <c:val>
            <c:numRef>
              <c:f>Sheet1!$B$2:$B$3</c:f>
              <c:numCache>
                <c:formatCode>General</c:formatCode>
                <c:ptCount val="2"/>
                <c:pt idx="0">
                  <c:v>769.12</c:v>
                </c:pt>
                <c:pt idx="1">
                  <c:v>8.86</c:v>
                </c:pt>
              </c:numCache>
            </c:numRef>
          </c:val>
        </c:ser>
        <c:dLbls>
          <c:showLegendKey val="false"/>
          <c:showVal val="true"/>
          <c:showCatName val="true"/>
          <c:showSerName val="false"/>
          <c:showPercent val="fals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50000"/>
                  <a:lumOff val="50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遂宁市林业局</a:t>
            </a:r>
            <a:r>
              <a:rPr lang="en-US" altLang="zh-CN"/>
              <a:t>“</a:t>
            </a:r>
            <a:r>
              <a:t>三公</a:t>
            </a:r>
            <a:r>
              <a:rPr lang="en-US" altLang="zh-CN"/>
              <a:t>”</a:t>
            </a:r>
            <a:r>
              <a:t>经费</a:t>
            </a:r>
          </a:p>
        </c:rich>
      </c:tx>
      <c:layout>
        <c:manualLayout>
          <c:xMode val="edge"/>
          <c:yMode val="edge"/>
          <c:x val="0.285867237687366"/>
          <c:y val="0.0628896719978314"/>
        </c:manualLayout>
      </c:layout>
      <c:overlay val="false"/>
      <c:spPr>
        <a:noFill/>
        <a:ln>
          <a:noFill/>
        </a:ln>
        <a:effectLst/>
      </c:spPr>
    </c:title>
    <c:autoTitleDeleted val="false"/>
    <c:plotArea>
      <c:layout/>
      <c:pieChart>
        <c:varyColors val="true"/>
        <c:ser>
          <c:idx val="0"/>
          <c:order val="0"/>
          <c:tx>
            <c:strRef>
              <c:f>Sheet1!$B$1</c:f>
              <c:strCache>
                <c:ptCount val="1"/>
                <c:pt idx="0">
                  <c:v>百分比</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89</a:t>
                    </a:r>
                    <a:r>
                      <a:rPr lang="en-US" altLang="zh-CN"/>
                      <a:t>.23</a:t>
                    </a:r>
                    <a:r>
                      <a:t>%</a:t>
                    </a:r>
                  </a:p>
                </c:rich>
              </c:tx>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false"/>
              <c:showCatName val="false"/>
              <c:showSerName val="false"/>
              <c:showPercent val="true"/>
              <c:showBubbleSize val="false"/>
              <c:extLst>
                <c:ext xmlns:c15="http://schemas.microsoft.com/office/drawing/2012/chart" uri="{CE6537A1-D6FC-4f65-9D91-7224C49458BB}"/>
              </c:extLst>
            </c:dLbl>
            <c:dLbl>
              <c:idx val="1"/>
              <c:layout>
                <c:manualLayout>
                  <c:x val="0.0153700638501491"/>
                  <c:y val="0.13048101915188"/>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1</a:t>
                    </a:r>
                    <a:r>
                      <a:rPr lang="en-US" altLang="zh-CN"/>
                      <a:t>0.77</a:t>
                    </a:r>
                    <a:r>
                      <a:t>%</a:t>
                    </a:r>
                  </a:p>
                </c:rich>
              </c:tx>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公务用车购置及运行维护支出</c:v>
                </c:pt>
                <c:pt idx="1">
                  <c:v>公务接待费</c:v>
                </c:pt>
              </c:strCache>
            </c:strRef>
          </c:cat>
          <c:val>
            <c:numRef>
              <c:f>Sheet1!$B$2:$B$3</c:f>
              <c:numCache>
                <c:formatCode>General</c:formatCode>
                <c:ptCount val="2"/>
                <c:pt idx="0">
                  <c:v>89.23</c:v>
                </c:pt>
                <c:pt idx="1">
                  <c:v>10.77</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600" b="1" i="0" u="none" strike="noStrike" kern="1200" baseline="0">
                <a:solidFill>
                  <a:schemeClr val="tx2"/>
                </a:solidFill>
                <a:latin typeface="+mn-lt"/>
                <a:ea typeface="+mn-ea"/>
                <a:cs typeface="+mn-cs"/>
              </a:defRPr>
            </a:pPr>
            <a:r>
              <a:rPr sz="1400" b="0"/>
              <a:t>遂宁市森林公安局</a:t>
            </a:r>
            <a:endParaRPr sz="1400" b="0"/>
          </a:p>
        </c:rich>
      </c:tx>
      <c:layout/>
      <c:overlay val="false"/>
      <c:spPr>
        <a:noFill/>
        <a:ln>
          <a:noFill/>
        </a:ln>
        <a:effectLst/>
      </c:spPr>
    </c:title>
    <c:autoTitleDeleted val="false"/>
    <c:plotArea>
      <c:layout/>
      <c:pieChart>
        <c:varyColors val="true"/>
        <c:ser>
          <c:idx val="0"/>
          <c:order val="0"/>
          <c:tx>
            <c:strRef>
              <c:f>Sheet1!$B$1</c:f>
              <c:strCache>
                <c:ptCount val="1"/>
                <c:pt idx="0">
                  <c:v>2016年</c:v>
                </c:pt>
              </c:strCache>
            </c:strRef>
          </c:tx>
          <c:explosion val="0"/>
          <c:dPt>
            <c:idx val="0"/>
            <c:bubble3D val="false"/>
            <c:explosion val="3"/>
            <c:spPr>
              <a:gradFill rotWithShape="true">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false"/>
              </a:gradFill>
              <a:ln>
                <a:noFill/>
              </a:ln>
              <a:effectLst/>
            </c:spPr>
          </c:dPt>
          <c:dPt>
            <c:idx val="1"/>
            <c:bubble3D val="false"/>
            <c:spPr>
              <a:gradFill rotWithShape="true">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false"/>
              </a:gradFill>
              <a:ln>
                <a:noFill/>
              </a:ln>
              <a:effectLst/>
            </c:spPr>
          </c:dPt>
          <c:dPt>
            <c:idx val="2"/>
            <c:bubble3D val="false"/>
            <c:spPr>
              <a:gradFill rotWithShape="true">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false"/>
              </a:gradFill>
              <a:ln>
                <a:noFill/>
              </a:ln>
              <a:effectLst/>
            </c:spPr>
          </c:dPt>
          <c:dPt>
            <c:idx val="3"/>
            <c:bubble3D val="false"/>
            <c:spPr>
              <a:gradFill rotWithShape="true">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false"/>
              </a:gradFill>
              <a:ln>
                <a:noFill/>
              </a:ln>
              <a:effectLst/>
            </c:spPr>
          </c:dPt>
          <c:dLbls>
            <c:dLbl>
              <c:idx val="0"/>
              <c:layout>
                <c:manualLayout>
                  <c:x val="-0.0308399389727865"/>
                  <c:y val="-0.314734862165235"/>
                </c:manualLayout>
              </c:layout>
              <c:tx>
                <c:rich>
                  <a:bodyPr rot="0" spcFirstLastPara="0" vertOverflow="ellipsis" vert="horz" wrap="square" lIns="38100" tIns="19050" rIns="38100" bIns="19050" anchor="ctr" anchorCtr="true"/>
                  <a:lstStyle/>
                  <a:p>
                    <a:pPr>
                      <a:defRPr lang="zh-CN" sz="900" b="0" i="0" u="none" strike="noStrike" kern="1200" baseline="0">
                        <a:solidFill>
                          <a:schemeClr val="tx2"/>
                        </a:solidFill>
                        <a:latin typeface="+mn-lt"/>
                        <a:ea typeface="+mn-ea"/>
                        <a:cs typeface="+mn-cs"/>
                      </a:defRPr>
                    </a:pPr>
                    <a:r>
                      <a:t>财政拨款收入，</a:t>
                    </a:r>
                  </a:p>
                  <a:p>
                    <a:pPr>
                      <a:defRPr lang="zh-CN" sz="900" b="0" i="0" u="none" strike="noStrike" kern="1200" baseline="0">
                        <a:solidFill>
                          <a:schemeClr val="tx2"/>
                        </a:solidFill>
                        <a:latin typeface="+mn-lt"/>
                        <a:ea typeface="+mn-ea"/>
                        <a:cs typeface="+mn-cs"/>
                      </a:defRPr>
                    </a:pPr>
                    <a:r>
                      <a:t>310.14万元</a:t>
                    </a:r>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262362921580799"/>
                      <c:h val="0.217579696688332"/>
                    </c:manualLayout>
                  </c15:layout>
                </c:ext>
              </c:extLst>
            </c:dLbl>
            <c:dLbl>
              <c:idx val="1"/>
              <c:layout>
                <c:manualLayout>
                  <c:x val="0.0210474610760847"/>
                  <c:y val="0.0914873865075288"/>
                </c:manualLayout>
              </c:layout>
              <c:tx>
                <c:rich>
                  <a:bodyPr rot="0" spcFirstLastPara="0" vertOverflow="ellipsis" vert="horz" wrap="square" lIns="38100" tIns="19050" rIns="38100" bIns="19050" anchor="ctr" anchorCtr="true"/>
                  <a:lstStyle/>
                  <a:p>
                    <a:pPr>
                      <a:defRPr lang="zh-CN" sz="900" b="0" i="0" u="none" strike="noStrike" kern="1200" baseline="0">
                        <a:solidFill>
                          <a:schemeClr val="tx2"/>
                        </a:solidFill>
                        <a:latin typeface="+mn-lt"/>
                        <a:ea typeface="+mn-ea"/>
                        <a:cs typeface="+mn-cs"/>
                      </a:defRPr>
                    </a:pPr>
                    <a:r>
                      <a:t>其他收入，0.04万元</a:t>
                    </a:r>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delete val="true"/>
            </c:dLbl>
            <c:dLbl>
              <c:idx val="3"/>
              <c:delete val="true"/>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2"/>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2">
                          <a:lumMod val="35000"/>
                          <a:lumOff val="65000"/>
                        </a:schemeClr>
                      </a:solidFill>
                      <a:prstDash val="solid"/>
                      <a:round/>
                    </a:ln>
                    <a:effectLst/>
                  </c:spPr>
                </c15:leaderLines>
              </c:ext>
            </c:extLst>
          </c:dLbls>
          <c:cat>
            <c:strRef>
              <c:f>Sheet1!$A$2:$A$5</c:f>
              <c:strCache>
                <c:ptCount val="4"/>
                <c:pt idx="0">
                  <c:v>财政拨款收入</c:v>
                </c:pt>
                <c:pt idx="1">
                  <c:v>其他收入</c:v>
                </c:pt>
                <c:pt idx="2">
                  <c:v>第三季度</c:v>
                </c:pt>
                <c:pt idx="3">
                  <c:v>第四季度</c:v>
                </c:pt>
              </c:strCache>
            </c:strRef>
          </c:cat>
          <c:val>
            <c:numRef>
              <c:f>Sheet1!$B$2:$B$5</c:f>
              <c:numCache>
                <c:formatCode>General</c:formatCode>
                <c:ptCount val="4"/>
                <c:pt idx="0">
                  <c:v>310.14</c:v>
                </c:pt>
                <c:pt idx="1">
                  <c:v>0.04</c:v>
                </c:pt>
                <c:pt idx="2">
                  <c:v>1.4</c:v>
                </c:pt>
                <c:pt idx="3">
                  <c:v>1.2</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egendEntry>
        <c:idx val="2"/>
        <c:delete val="true"/>
      </c:legendEntry>
      <c:legendEntry>
        <c:idx val="3"/>
        <c:delete val="true"/>
      </c:legendEntry>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2"/>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遂宁市林业局</a:t>
            </a:r>
          </a:p>
        </c:rich>
      </c:tx>
      <c:layout/>
      <c:overlay val="false"/>
      <c:spPr>
        <a:noFill/>
        <a:ln>
          <a:noFill/>
        </a:ln>
        <a:effectLst/>
      </c:spPr>
    </c:title>
    <c:autoTitleDeleted val="false"/>
    <c:plotArea>
      <c:layout/>
      <c:pieChart>
        <c:varyColors val="true"/>
        <c:ser>
          <c:idx val="0"/>
          <c:order val="0"/>
          <c:tx>
            <c:strRef>
              <c:f>Sheet1!$B$1</c:f>
              <c:strCache>
                <c:ptCount val="1"/>
                <c:pt idx="0">
                  <c:v>2016年</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dLbl>
              <c:idx val="0"/>
              <c:layout>
                <c:manualLayout>
                  <c:x val="-0.155657979750167"/>
                  <c:y val="0.123759299086497"/>
                </c:manualLayout>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sz="750"/>
                      <a:t>基本支出，506.03万元</a:t>
                    </a:r>
                    <a:endParaRPr sz="750"/>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182352941176471"/>
                  <c:y val="-0.209114508220363"/>
                </c:manualLayout>
              </c:layout>
              <c:tx>
                <c:rich>
                  <a:bodyPr rot="0" spcFirstLastPara="0" vertOverflow="ellipsis" vert="horz" wrap="square" lIns="38100" tIns="19050" rIns="38100" bIns="19050" anchor="ctr" anchorCtr="true"/>
                  <a:lstStyle/>
                  <a:p>
                    <a:pPr defTabSz="914400">
                      <a:defRPr lang="zh-CN" sz="750" b="0" i="0" u="none" strike="noStrike" kern="1200" baseline="0">
                        <a:solidFill>
                          <a:schemeClr val="tx1">
                            <a:lumMod val="75000"/>
                            <a:lumOff val="25000"/>
                          </a:schemeClr>
                        </a:solidFill>
                        <a:latin typeface="+mn-lt"/>
                        <a:ea typeface="+mn-ea"/>
                        <a:cs typeface="+mn-cs"/>
                      </a:defRPr>
                    </a:pPr>
                    <a:r>
                      <a:rPr sz="750"/>
                      <a:t>项目支出，1297.02万元</a:t>
                    </a:r>
                    <a:endParaRPr sz="750"/>
                  </a:p>
                </c:rich>
              </c:tx>
              <c:numFmt formatCode="General" sourceLinked="true"/>
              <c:spPr>
                <a:noFill/>
                <a:ln>
                  <a:noFill/>
                </a:ln>
                <a:effectLst/>
              </c:spPr>
              <c:txPr>
                <a:bodyPr rot="0" spcFirstLastPara="0" vertOverflow="ellipsis" vert="horz" wrap="square" lIns="38100" tIns="19050" rIns="38100" bIns="19050" anchor="ctr" anchorCtr="true"/>
                <a:lstStyle/>
                <a:p>
                  <a:pPr>
                    <a:defRPr lang="zh-CN" sz="75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233613445378151"/>
                      <c:h val="0.266512835304298"/>
                    </c:manualLayout>
                  </c15:layout>
                </c:ext>
              </c:extLst>
            </c:dLbl>
            <c:dLbl>
              <c:idx val="2"/>
              <c:delete val="true"/>
            </c:dLbl>
            <c:dLbl>
              <c:idx val="3"/>
              <c:delete val="true"/>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基本支出</c:v>
                </c:pt>
                <c:pt idx="1">
                  <c:v>项目支出</c:v>
                </c:pt>
                <c:pt idx="2">
                  <c:v>第三季度</c:v>
                </c:pt>
                <c:pt idx="3">
                  <c:v>第四季度</c:v>
                </c:pt>
              </c:strCache>
            </c:strRef>
          </c:cat>
          <c:val>
            <c:numRef>
              <c:f>Sheet1!$B$2:$B$5</c:f>
              <c:numCache>
                <c:formatCode>General</c:formatCode>
                <c:ptCount val="4"/>
                <c:pt idx="0">
                  <c:v>506.03</c:v>
                </c:pt>
                <c:pt idx="1">
                  <c:v>1297.02</c:v>
                </c:pt>
                <c:pt idx="2">
                  <c:v>1.4</c:v>
                </c:pt>
                <c:pt idx="3">
                  <c:v>1.2</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egendEntry>
        <c:idx val="2"/>
        <c:delete val="true"/>
      </c:legendEntry>
      <c:legendEntry>
        <c:idx val="3"/>
        <c:delete val="true"/>
      </c:legendEntry>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遂宁市森林公安局</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manualLayout>
                  <c:x val="-0.207996302287959"/>
                  <c:y val="-0.18551904623437"/>
                </c:manualLayout>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sz="750"/>
                      <a:t>基本支出，265.28万元</a:t>
                    </a:r>
                    <a:endParaRPr sz="750"/>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135524093955918"/>
                  <c:y val="0.175004661594228"/>
                </c:manualLayout>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sz="750"/>
                      <a:t>项目支出，70万元</a:t>
                    </a:r>
                    <a:endParaRPr sz="750"/>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265.28</c:v>
                </c:pt>
                <c:pt idx="1">
                  <c:v>70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遂宁市林业局</a:t>
            </a:r>
          </a:p>
        </c:rich>
      </c:tx>
      <c:layout>
        <c:manualLayout>
          <c:xMode val="edge"/>
          <c:yMode val="edge"/>
          <c:x val="0.301504102096627"/>
          <c:y val="0.0171325518485122"/>
        </c:manualLayout>
      </c:layout>
      <c:overlay val="false"/>
      <c:spPr>
        <a:noFill/>
        <a:ln>
          <a:noFill/>
        </a:ln>
        <a:effectLst/>
      </c:spPr>
    </c:title>
    <c:autoTitleDeleted val="false"/>
    <c:plotArea>
      <c:layout>
        <c:manualLayout>
          <c:layoutTarget val="inner"/>
          <c:xMode val="edge"/>
          <c:yMode val="edge"/>
          <c:x val="0.127529626253418"/>
          <c:y val="0.13375413285242"/>
          <c:w val="0.806381039197812"/>
          <c:h val="0.652058911932672"/>
        </c:manualLayout>
      </c:layout>
      <c:barChart>
        <c:barDir val="col"/>
        <c:grouping val="clustered"/>
        <c:varyColors val="false"/>
        <c:ser>
          <c:idx val="0"/>
          <c:order val="0"/>
          <c:tx>
            <c:strRef>
              <c:f>Sheet1!$A$2</c:f>
              <c:strCache>
                <c:ptCount val="1"/>
                <c:pt idx="0">
                  <c:v>2015年</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Sheet1!$B$1:$C$1</c:f>
              <c:strCache>
                <c:ptCount val="2"/>
                <c:pt idx="0">
                  <c:v>财政拨款收入总决算</c:v>
                </c:pt>
                <c:pt idx="1">
                  <c:v>财政拨款支出总决算</c:v>
                </c:pt>
              </c:strCache>
            </c:strRef>
          </c:cat>
          <c:val>
            <c:numRef>
              <c:f>Sheet1!$B$2:$C$2</c:f>
              <c:numCache>
                <c:formatCode>General</c:formatCode>
                <c:ptCount val="2"/>
                <c:pt idx="0">
                  <c:v>2320.98</c:v>
                </c:pt>
                <c:pt idx="1">
                  <c:v>2320.98</c:v>
                </c:pt>
              </c:numCache>
            </c:numRef>
          </c:val>
        </c:ser>
        <c:ser>
          <c:idx val="1"/>
          <c:order val="1"/>
          <c:tx>
            <c:strRef>
              <c:f>Sheet1!$A$3</c:f>
              <c:strCache>
                <c:ptCount val="1"/>
                <c:pt idx="0">
                  <c:v>2016年</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Sheet1!$B$1:$C$1</c:f>
              <c:strCache>
                <c:ptCount val="2"/>
                <c:pt idx="0">
                  <c:v>财政拨款收入总决算</c:v>
                </c:pt>
                <c:pt idx="1">
                  <c:v>财政拨款支出总决算</c:v>
                </c:pt>
              </c:strCache>
            </c:strRef>
          </c:cat>
          <c:val>
            <c:numRef>
              <c:f>Sheet1!$B$3:$C$3</c:f>
              <c:numCache>
                <c:formatCode>General</c:formatCode>
                <c:ptCount val="2"/>
                <c:pt idx="0">
                  <c:v>2401.64</c:v>
                </c:pt>
                <c:pt idx="1">
                  <c:v>2401.64</c:v>
                </c:pt>
              </c:numCache>
            </c:numRef>
          </c:val>
        </c:ser>
        <c:dLbls>
          <c:showLegendKey val="false"/>
          <c:showVal val="true"/>
          <c:showCatName val="false"/>
          <c:showSerName val="false"/>
          <c:showPercent val="false"/>
          <c:showBubbleSize val="false"/>
        </c:dLbls>
        <c:gapWidth val="219"/>
        <c:overlap val="-27"/>
        <c:axId val="264982912"/>
        <c:axId val="264984448"/>
      </c:barChart>
      <c:catAx>
        <c:axId val="264982912"/>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64984448"/>
        <c:crosses val="autoZero"/>
        <c:auto val="true"/>
        <c:lblAlgn val="ctr"/>
        <c:lblOffset val="100"/>
        <c:noMultiLvlLbl val="false"/>
      </c:catAx>
      <c:valAx>
        <c:axId val="264984448"/>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64982912"/>
        <c:crosses val="autoZero"/>
        <c:crossBetween val="between"/>
      </c:valAx>
      <c:spPr>
        <a:noFill/>
        <a:ln>
          <a:noFill/>
        </a:ln>
        <a:effectLst/>
      </c:spPr>
    </c:plotArea>
    <c:legend>
      <c:legendPos val="b"/>
      <c:layout>
        <c:manualLayout>
          <c:xMode val="edge"/>
          <c:yMode val="edge"/>
          <c:x val="0.312784867821331"/>
          <c:y val="0.889990982867448"/>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cap="all" spc="50" baseline="0">
                <a:solidFill>
                  <a:schemeClr val="tx1">
                    <a:lumMod val="65000"/>
                    <a:lumOff val="35000"/>
                  </a:schemeClr>
                </a:solidFill>
                <a:latin typeface="+mn-lt"/>
                <a:ea typeface="+mn-ea"/>
                <a:cs typeface="+mn-cs"/>
              </a:defRPr>
            </a:pPr>
            <a:r>
              <a:rPr sz="1400" b="0"/>
              <a:t>遂宁市森林公安局</a:t>
            </a:r>
            <a:endParaRPr sz="1400" b="0"/>
          </a:p>
        </c:rich>
      </c:tx>
      <c:layout/>
      <c:overlay val="false"/>
      <c:spPr>
        <a:noFill/>
        <a:ln>
          <a:noFill/>
        </a:ln>
        <a:effectLst/>
      </c:spPr>
    </c:title>
    <c:autoTitleDeleted val="false"/>
    <c:plotArea>
      <c:layout/>
      <c:barChart>
        <c:barDir val="col"/>
        <c:grouping val="clustered"/>
        <c:varyColors val="false"/>
        <c:ser>
          <c:idx val="0"/>
          <c:order val="0"/>
          <c:tx>
            <c:strRef>
              <c:f>Sheet1!$A$2</c:f>
              <c:strCache>
                <c:ptCount val="1"/>
                <c:pt idx="0">
                  <c:v>2015年</c:v>
                </c:pt>
              </c:strCache>
            </c:strRef>
          </c:tx>
          <c:spPr>
            <a:gradFill flip="none" rotWithShape="true">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false"/>
            </a:gradFill>
            <a:ln>
              <a:noFill/>
            </a:ln>
            <a:effectLst/>
          </c:spPr>
          <c:invertIfNegative val="false"/>
          <c:dLbls>
            <c:delete val="true"/>
          </c:dLbls>
          <c:cat>
            <c:strRef>
              <c:f>Sheet1!$B$1:$C$1</c:f>
              <c:strCache>
                <c:ptCount val="2"/>
                <c:pt idx="0">
                  <c:v>财政拨款收入总决算</c:v>
                </c:pt>
                <c:pt idx="1">
                  <c:v>财政拨款支出总决算</c:v>
                </c:pt>
              </c:strCache>
            </c:strRef>
          </c:cat>
          <c:val>
            <c:numRef>
              <c:f>Sheet1!$B$2:$C$2</c:f>
              <c:numCache>
                <c:formatCode>General</c:formatCode>
                <c:ptCount val="2"/>
                <c:pt idx="0">
                  <c:v>320.81</c:v>
                </c:pt>
                <c:pt idx="1">
                  <c:v>320.81</c:v>
                </c:pt>
              </c:numCache>
            </c:numRef>
          </c:val>
        </c:ser>
        <c:ser>
          <c:idx val="1"/>
          <c:order val="1"/>
          <c:tx>
            <c:strRef>
              <c:f>Sheet1!$A$3</c:f>
              <c:strCache>
                <c:ptCount val="1"/>
                <c:pt idx="0">
                  <c:v>2016年</c:v>
                </c:pt>
              </c:strCache>
            </c:strRef>
          </c:tx>
          <c:spPr>
            <a:gradFill flip="none" rotWithShape="true">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false"/>
            </a:gradFill>
            <a:ln>
              <a:noFill/>
            </a:ln>
            <a:effectLst/>
          </c:spPr>
          <c:invertIfNegative val="false"/>
          <c:dLbls>
            <c:delete val="true"/>
          </c:dLbls>
          <c:cat>
            <c:strRef>
              <c:f>Sheet1!$B$1:$C$1</c:f>
              <c:strCache>
                <c:ptCount val="2"/>
                <c:pt idx="0">
                  <c:v>财政拨款收入总决算</c:v>
                </c:pt>
                <c:pt idx="1">
                  <c:v>财政拨款支出总决算</c:v>
                </c:pt>
              </c:strCache>
            </c:strRef>
          </c:cat>
          <c:val>
            <c:numRef>
              <c:f>Sheet1!$B$3:$C$3</c:f>
              <c:numCache>
                <c:formatCode>General</c:formatCode>
                <c:ptCount val="2"/>
                <c:pt idx="0">
                  <c:v>349.83</c:v>
                </c:pt>
                <c:pt idx="1">
                  <c:v>349.83</c:v>
                </c:pt>
              </c:numCache>
            </c:numRef>
          </c:val>
        </c:ser>
        <c:dLbls>
          <c:showLegendKey val="false"/>
          <c:showVal val="false"/>
          <c:showCatName val="false"/>
          <c:showSerName val="false"/>
          <c:showPercent val="false"/>
          <c:showBubbleSize val="false"/>
        </c:dLbls>
        <c:gapWidth val="355"/>
        <c:overlap val="-70"/>
        <c:axId val="268180864"/>
        <c:axId val="268199040"/>
      </c:barChart>
      <c:catAx>
        <c:axId val="268180864"/>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68199040"/>
        <c:crosses val="autoZero"/>
        <c:auto val="true"/>
        <c:lblAlgn val="ctr"/>
        <c:lblOffset val="100"/>
        <c:noMultiLvlLbl val="false"/>
      </c:catAx>
      <c:valAx>
        <c:axId val="268199040"/>
        <c:scaling>
          <c:orientation val="minMax"/>
        </c:scaling>
        <c:delete val="false"/>
        <c:axPos val="l"/>
        <c:majorGridlines>
          <c:spPr>
            <a:ln w="9525" cap="flat" cmpd="sng" algn="ctr">
              <a:gradFill>
                <a:gsLst>
                  <a:gs pos="100000">
                    <a:schemeClr val="tx1">
                      <a:lumMod val="5000"/>
                      <a:lumOff val="95000"/>
                    </a:schemeClr>
                  </a:gs>
                  <a:gs pos="0">
                    <a:schemeClr val="tx1">
                      <a:lumMod val="25000"/>
                      <a:lumOff val="75000"/>
                    </a:schemeClr>
                  </a:gs>
                </a:gsLst>
                <a:lin ang="5400000" scaled="false"/>
              </a:gradFill>
              <a:prstDash val="solid"/>
              <a:round/>
            </a:ln>
            <a:effectLst/>
          </c:spPr>
        </c:majorGridlines>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68180864"/>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遂宁市森林公安局</a:t>
            </a:r>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一般公共预算财政拨款支出</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2015年</c:v>
                </c:pt>
                <c:pt idx="1">
                  <c:v>2016年</c:v>
                </c:pt>
              </c:strCache>
            </c:strRef>
          </c:cat>
          <c:val>
            <c:numRef>
              <c:f>Sheet1!$B$2:$B$3</c:f>
              <c:numCache>
                <c:formatCode>General</c:formatCode>
                <c:ptCount val="2"/>
                <c:pt idx="0">
                  <c:v>281.13</c:v>
                </c:pt>
                <c:pt idx="1">
                  <c:v>323.98</c:v>
                </c:pt>
              </c:numCache>
            </c:numRef>
          </c:val>
        </c:ser>
        <c:dLbls>
          <c:showLegendKey val="false"/>
          <c:showVal val="true"/>
          <c:showCatName val="false"/>
          <c:showSerName val="false"/>
          <c:showPercent val="false"/>
          <c:showBubbleSize val="false"/>
        </c:dLbls>
        <c:gapWidth val="219"/>
        <c:overlap val="-27"/>
        <c:axId val="109192320"/>
        <c:axId val="109193856"/>
      </c:barChart>
      <c:catAx>
        <c:axId val="109192320"/>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09193856"/>
        <c:crosses val="autoZero"/>
        <c:auto val="true"/>
        <c:lblAlgn val="ctr"/>
        <c:lblOffset val="100"/>
        <c:noMultiLvlLbl val="false"/>
      </c:catAx>
      <c:valAx>
        <c:axId val="109193856"/>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09192320"/>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遂宁市林业局</a:t>
            </a:r>
          </a:p>
        </c:rich>
      </c:tx>
      <c:layout/>
      <c:overlay val="false"/>
      <c:spPr>
        <a:noFill/>
        <a:ln>
          <a:noFill/>
        </a:ln>
        <a:effectLst/>
      </c:spPr>
    </c:title>
    <c:autoTitleDeleted val="false"/>
    <c:plotArea>
      <c:layout>
        <c:manualLayout>
          <c:layoutTarget val="inner"/>
          <c:xMode val="edge"/>
          <c:yMode val="edge"/>
          <c:x val="0.158017928286853"/>
          <c:y val="0.19231871596446"/>
          <c:w val="0.788446215139442"/>
          <c:h val="0.51286901691029"/>
        </c:manualLayout>
      </c:layout>
      <c:barChart>
        <c:barDir val="col"/>
        <c:grouping val="clustered"/>
        <c:varyColors val="false"/>
        <c:ser>
          <c:idx val="0"/>
          <c:order val="0"/>
          <c:tx>
            <c:strRef>
              <c:f>Sheet1!$B$1</c:f>
              <c:strCache>
                <c:ptCount val="1"/>
                <c:pt idx="0">
                  <c:v>一般公共预算财政拨款支出</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2015年</c:v>
                </c:pt>
                <c:pt idx="1">
                  <c:v>2016年</c:v>
                </c:pt>
              </c:strCache>
            </c:strRef>
          </c:cat>
          <c:val>
            <c:numRef>
              <c:f>Sheet1!$B$2:$B$5</c:f>
              <c:numCache>
                <c:formatCode>General</c:formatCode>
                <c:ptCount val="4"/>
                <c:pt idx="0">
                  <c:v>644.33</c:v>
                </c:pt>
                <c:pt idx="1">
                  <c:v>1793.72</c:v>
                </c:pt>
              </c:numCache>
            </c:numRef>
          </c:val>
        </c:ser>
        <c:ser>
          <c:idx val="1"/>
          <c:order val="1"/>
          <c:tx>
            <c:strRef>
              <c:f>Sheet1!$C$1</c:f>
              <c:strCache>
                <c:ptCount val="1"/>
                <c:pt idx="0">
                  <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2015年</c:v>
                </c:pt>
                <c:pt idx="1">
                  <c:v>2016年</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2015年</c:v>
                </c:pt>
                <c:pt idx="1">
                  <c:v>2016年</c:v>
                </c:pt>
              </c:strCache>
            </c:strRef>
          </c:cat>
          <c:val>
            <c:numRef>
              <c:f>Sheet1!$D$2:$D$5</c:f>
              <c:numCache>
                <c:formatCode>General</c:formatCode>
                <c:ptCount val="4"/>
              </c:numCache>
            </c:numRef>
          </c:val>
        </c:ser>
        <c:dLbls>
          <c:showLegendKey val="false"/>
          <c:showVal val="true"/>
          <c:showCatName val="false"/>
          <c:showSerName val="false"/>
          <c:showPercent val="false"/>
          <c:showBubbleSize val="false"/>
        </c:dLbls>
        <c:gapWidth val="219"/>
        <c:overlap val="-27"/>
        <c:axId val="268416128"/>
        <c:axId val="268417664"/>
      </c:barChart>
      <c:catAx>
        <c:axId val="268416128"/>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68417664"/>
        <c:crosses val="autoZero"/>
        <c:auto val="true"/>
        <c:lblAlgn val="ctr"/>
        <c:lblOffset val="100"/>
        <c:noMultiLvlLbl val="false"/>
      </c:catAx>
      <c:valAx>
        <c:axId val="268417664"/>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68416128"/>
        <c:crosses val="autoZero"/>
        <c:crossBetween val="between"/>
      </c:valAx>
      <c:spPr>
        <a:noFill/>
        <a:ln>
          <a:noFill/>
        </a:ln>
        <a:effectLst/>
      </c:spPr>
    </c:plotArea>
    <c:legend>
      <c:legendPos val="b"/>
      <c:legendEntry>
        <c:idx val="1"/>
        <c:delete val="true"/>
      </c:legendEntry>
      <c:legendEntry>
        <c:idx val="2"/>
        <c:delete val="true"/>
      </c:legendEntry>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遂宁市林业局汇总</a:t>
            </a:r>
          </a:p>
        </c:rich>
      </c:tx>
      <c:layout/>
      <c:overlay val="false"/>
      <c:spPr>
        <a:noFill/>
        <a:ln>
          <a:noFill/>
        </a:ln>
        <a:effectLst/>
      </c:spPr>
    </c:title>
    <c:autoTitleDeleted val="false"/>
    <c:plotArea>
      <c:layout/>
      <c:pieChart>
        <c:varyColors val="true"/>
        <c:ser>
          <c:idx val="0"/>
          <c:order val="0"/>
          <c:tx>
            <c:strRef>
              <c:f>Sheet1!$B$1</c:f>
              <c:strCache>
                <c:ptCount val="1"/>
                <c:pt idx="0">
                  <c:v>百分比</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Lbls>
            <c:dLbl>
              <c:idx val="0"/>
              <c:layout>
                <c:manualLayout>
                  <c:x val="-0.0625343422181426"/>
                  <c:y val="-0.0114680268990621"/>
                </c:manualLayout>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1.43</a:t>
                    </a:r>
                    <a:r>
                      <a:t>%</a:t>
                    </a:r>
                  </a:p>
                </c:rich>
              </c:tx>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1"/>
              <c:layout>
                <c:manualLayout>
                  <c:x val="0.00617935910967312"/>
                  <c:y val="-0.0029333276741742"/>
                </c:manualLayout>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t>0</a:t>
                    </a:r>
                    <a:r>
                      <a:rPr lang="en-US" altLang="zh-CN"/>
                      <a:t>.22</a:t>
                    </a:r>
                    <a:r>
                      <a:t>%</a:t>
                    </a:r>
                  </a:p>
                </c:rich>
              </c:tx>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2"/>
              <c:layout>
                <c:manualLayout>
                  <c:x val="0.0635554090776202"/>
                  <c:y val="0.0409116706701363"/>
                </c:manualLayout>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t>1</a:t>
                    </a:r>
                    <a:r>
                      <a:rPr lang="en-US" altLang="zh-CN"/>
                      <a:t>.27</a:t>
                    </a:r>
                    <a:r>
                      <a:t>%</a:t>
                    </a:r>
                  </a:p>
                </c:rich>
              </c:tx>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dLbl>
              <c:idx val="3"/>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95.53</a:t>
                    </a:r>
                    <a:r>
                      <a:t>%</a:t>
                    </a:r>
                  </a:p>
                </c:rich>
              </c:tx>
              <c:dLblPos val="inEnd"/>
              <c:showLegendKey val="false"/>
              <c:showVal val="false"/>
              <c:showCatName val="false"/>
              <c:showSerName val="false"/>
              <c:showPercent val="true"/>
              <c:showBubbleSize val="false"/>
              <c:extLst>
                <c:ext xmlns:c15="http://schemas.microsoft.com/office/drawing/2012/chart" uri="{CE6537A1-D6FC-4f65-9D91-7224C49458BB}"/>
              </c:extLst>
            </c:dLbl>
            <c:dLbl>
              <c:idx val="4"/>
              <c:layout>
                <c:manualLayout>
                  <c:x val="-0.127891111565828"/>
                  <c:y val="0.0476687015232957"/>
                </c:manualLayout>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1.54</a:t>
                    </a:r>
                    <a:r>
                      <a:t>%</a:t>
                    </a:r>
                  </a:p>
                </c:rich>
              </c:tx>
              <c:dLblPos val="bestFit"/>
              <c:showLegendKey val="false"/>
              <c:showVal val="false"/>
              <c:showCatName val="fals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公共安全支出</c:v>
                </c:pt>
                <c:pt idx="1">
                  <c:v>社会保障和就业支出</c:v>
                </c:pt>
                <c:pt idx="2">
                  <c:v>医疗卫生与计划生育支出</c:v>
                </c:pt>
                <c:pt idx="3">
                  <c:v>农林水支出</c:v>
                </c:pt>
                <c:pt idx="4">
                  <c:v>住房保障支出</c:v>
                </c:pt>
              </c:strCache>
            </c:strRef>
          </c:cat>
          <c:val>
            <c:numRef>
              <c:f>Sheet1!$B$2:$B$6</c:f>
              <c:numCache>
                <c:formatCode>General</c:formatCode>
                <c:ptCount val="5"/>
                <c:pt idx="0">
                  <c:v>1.43</c:v>
                </c:pt>
                <c:pt idx="1">
                  <c:v>0.22</c:v>
                </c:pt>
                <c:pt idx="2">
                  <c:v>1.27</c:v>
                </c:pt>
                <c:pt idx="3">
                  <c:v>95.53</c:v>
                </c:pt>
                <c:pt idx="4">
                  <c:v>1.54</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890</Words>
  <Characters>5076</Characters>
  <Lines>42</Lines>
  <Paragraphs>11</Paragraphs>
  <TotalTime>1</TotalTime>
  <ScaleCrop>false</ScaleCrop>
  <LinksUpToDate>false</LinksUpToDate>
  <CharactersWithSpaces>5955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2017-08-14T09:31:00Z</dcterms:created>
  <dc:creator>jing</dc:creator>
  <cp:lastModifiedBy>snak</cp:lastModifiedBy>
  <dcterms:modified xsi:type="dcterms:W3CDTF">2023-09-18T17:38:55Z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